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89" w:rsidRPr="004F0789" w:rsidRDefault="004F0789" w:rsidP="00013818">
      <w:pPr>
        <w:rPr>
          <w:szCs w:val="24"/>
        </w:rPr>
      </w:pPr>
    </w:p>
    <w:p w:rsidR="004F0789" w:rsidRDefault="004F0789" w:rsidP="00013818">
      <w:pPr>
        <w:rPr>
          <w:szCs w:val="24"/>
        </w:rPr>
      </w:pPr>
    </w:p>
    <w:p w:rsidR="004F0789" w:rsidRDefault="004F0789" w:rsidP="00013818">
      <w:pPr>
        <w:rPr>
          <w:szCs w:val="24"/>
        </w:rPr>
      </w:pPr>
    </w:p>
    <w:p w:rsidR="004F0789" w:rsidRDefault="004F0789" w:rsidP="00013818">
      <w:pPr>
        <w:rPr>
          <w:szCs w:val="24"/>
        </w:rPr>
      </w:pPr>
    </w:p>
    <w:p w:rsidR="004F0789" w:rsidRDefault="004F0789" w:rsidP="00013818">
      <w:pPr>
        <w:rPr>
          <w:szCs w:val="24"/>
        </w:rPr>
      </w:pPr>
    </w:p>
    <w:p w:rsidR="004F0789" w:rsidRPr="004F0789" w:rsidRDefault="004F0789" w:rsidP="00013818">
      <w:pPr>
        <w:rPr>
          <w:szCs w:val="24"/>
        </w:rPr>
      </w:pPr>
    </w:p>
    <w:p w:rsidR="003D1099" w:rsidRPr="004F0789" w:rsidRDefault="003D1099" w:rsidP="003D1099">
      <w:pPr>
        <w:rPr>
          <w:szCs w:val="24"/>
        </w:rPr>
      </w:pPr>
      <w:r w:rsidRPr="004F0789">
        <w:rPr>
          <w:szCs w:val="24"/>
        </w:rPr>
        <w:t>Technische Hochschule Wildau</w:t>
      </w:r>
    </w:p>
    <w:p w:rsidR="004F0789" w:rsidRPr="004F0789" w:rsidRDefault="004F0789" w:rsidP="00013818">
      <w:pPr>
        <w:rPr>
          <w:szCs w:val="24"/>
        </w:rPr>
      </w:pPr>
    </w:p>
    <w:p w:rsidR="004F0789" w:rsidRPr="004F0789" w:rsidRDefault="004F0789" w:rsidP="00013818">
      <w:pPr>
        <w:rPr>
          <w:szCs w:val="24"/>
        </w:rPr>
      </w:pPr>
    </w:p>
    <w:p w:rsidR="004F0789" w:rsidRPr="004F0789" w:rsidRDefault="004F0789" w:rsidP="00013818">
      <w:pPr>
        <w:rPr>
          <w:szCs w:val="24"/>
        </w:rPr>
      </w:pPr>
    </w:p>
    <w:p w:rsidR="004F0789" w:rsidRPr="004F0789" w:rsidRDefault="004F0789" w:rsidP="00013818">
      <w:pPr>
        <w:rPr>
          <w:szCs w:val="24"/>
        </w:rPr>
      </w:pPr>
    </w:p>
    <w:p w:rsidR="004F0789" w:rsidRDefault="004F0789" w:rsidP="00013818">
      <w:pPr>
        <w:rPr>
          <w:szCs w:val="24"/>
        </w:rPr>
      </w:pPr>
    </w:p>
    <w:p w:rsidR="004F0789" w:rsidRDefault="004F0789" w:rsidP="00013818">
      <w:pPr>
        <w:rPr>
          <w:szCs w:val="24"/>
        </w:rPr>
      </w:pPr>
    </w:p>
    <w:p w:rsidR="004F0789" w:rsidRDefault="004F0789" w:rsidP="00013818">
      <w:pPr>
        <w:rPr>
          <w:szCs w:val="24"/>
        </w:rPr>
      </w:pPr>
    </w:p>
    <w:p w:rsidR="004F0789" w:rsidRDefault="004F0789" w:rsidP="00013818">
      <w:pPr>
        <w:rPr>
          <w:szCs w:val="24"/>
        </w:rPr>
      </w:pPr>
    </w:p>
    <w:p w:rsidR="004F0789" w:rsidRPr="004F0789" w:rsidRDefault="004F0789" w:rsidP="00013818">
      <w:pPr>
        <w:rPr>
          <w:szCs w:val="24"/>
        </w:rPr>
      </w:pPr>
    </w:p>
    <w:p w:rsidR="004F0789" w:rsidRPr="004F0789" w:rsidRDefault="004F0789" w:rsidP="00013818">
      <w:pPr>
        <w:rPr>
          <w:szCs w:val="24"/>
        </w:rPr>
      </w:pPr>
    </w:p>
    <w:p w:rsidR="004F0789" w:rsidRPr="004F0789" w:rsidRDefault="004F0789" w:rsidP="00013818">
      <w:pPr>
        <w:rPr>
          <w:szCs w:val="24"/>
        </w:rPr>
      </w:pPr>
    </w:p>
    <w:p w:rsidR="004F0789" w:rsidRPr="004F0789" w:rsidRDefault="004F0789" w:rsidP="00013818">
      <w:pPr>
        <w:rPr>
          <w:szCs w:val="24"/>
        </w:rPr>
      </w:pPr>
    </w:p>
    <w:p w:rsidR="004F0789" w:rsidRPr="004F0789" w:rsidRDefault="004F0789" w:rsidP="00013818">
      <w:pPr>
        <w:rPr>
          <w:szCs w:val="24"/>
        </w:rPr>
      </w:pPr>
    </w:p>
    <w:p w:rsidR="004F0789" w:rsidRPr="004F0789" w:rsidRDefault="004F0789" w:rsidP="00013818">
      <w:pPr>
        <w:rPr>
          <w:szCs w:val="24"/>
        </w:rPr>
      </w:pPr>
    </w:p>
    <w:p w:rsidR="004F0789" w:rsidRPr="004F0789" w:rsidRDefault="004F0789" w:rsidP="00013818">
      <w:pPr>
        <w:rPr>
          <w:szCs w:val="24"/>
        </w:rPr>
      </w:pPr>
    </w:p>
    <w:p w:rsidR="009113E6" w:rsidRDefault="00E3259B" w:rsidP="004F0789">
      <w:pPr>
        <w:jc w:val="center"/>
        <w:rPr>
          <w:b/>
          <w:sz w:val="28"/>
          <w:szCs w:val="28"/>
        </w:rPr>
      </w:pPr>
      <w:r>
        <w:rPr>
          <w:b/>
          <w:sz w:val="28"/>
          <w:szCs w:val="28"/>
        </w:rPr>
        <w:t>Handels-, Gesellschafts- und Arbeitsrecht</w:t>
      </w:r>
    </w:p>
    <w:p w:rsidR="00E3259B" w:rsidRDefault="00E3259B" w:rsidP="004F0789">
      <w:pPr>
        <w:jc w:val="center"/>
        <w:rPr>
          <w:b/>
          <w:sz w:val="28"/>
          <w:szCs w:val="28"/>
        </w:rPr>
      </w:pPr>
      <w:r>
        <w:rPr>
          <w:b/>
          <w:sz w:val="28"/>
          <w:szCs w:val="28"/>
        </w:rPr>
        <w:t>für Betriebswirte</w:t>
      </w:r>
    </w:p>
    <w:p w:rsidR="001A72F7" w:rsidRPr="004F0789" w:rsidRDefault="001A72F7" w:rsidP="004F0789">
      <w:pPr>
        <w:jc w:val="center"/>
        <w:rPr>
          <w:b/>
          <w:sz w:val="28"/>
          <w:szCs w:val="28"/>
        </w:rPr>
      </w:pPr>
      <w:r>
        <w:rPr>
          <w:b/>
          <w:sz w:val="28"/>
          <w:szCs w:val="28"/>
        </w:rPr>
        <w:t>(Fälle)</w:t>
      </w:r>
    </w:p>
    <w:p w:rsidR="00932965" w:rsidRDefault="00932965" w:rsidP="00013818"/>
    <w:p w:rsidR="003337AA" w:rsidRPr="00D556A7" w:rsidRDefault="004F0789" w:rsidP="00841D00">
      <w:pPr>
        <w:ind w:left="2832"/>
        <w:rPr>
          <w:b/>
          <w:szCs w:val="24"/>
          <w:u w:val="single"/>
        </w:rPr>
      </w:pPr>
      <w:r>
        <w:br w:type="page"/>
      </w:r>
      <w:r w:rsidR="00E3259B">
        <w:rPr>
          <w:b/>
          <w:szCs w:val="24"/>
          <w:u w:val="single"/>
        </w:rPr>
        <w:lastRenderedPageBreak/>
        <w:t>A</w:t>
      </w:r>
      <w:r w:rsidR="00780A0F" w:rsidRPr="00D556A7">
        <w:rPr>
          <w:b/>
          <w:szCs w:val="24"/>
          <w:u w:val="single"/>
        </w:rPr>
        <w:t xml:space="preserve">. </w:t>
      </w:r>
      <w:r w:rsidR="003337AA" w:rsidRPr="00D556A7">
        <w:rPr>
          <w:b/>
          <w:szCs w:val="24"/>
          <w:u w:val="single"/>
        </w:rPr>
        <w:t>Handels- und Gesellschaftsrecht</w:t>
      </w:r>
    </w:p>
    <w:p w:rsidR="003337AA" w:rsidRDefault="003337AA" w:rsidP="00841D00">
      <w:pPr>
        <w:ind w:left="2832"/>
        <w:jc w:val="both"/>
      </w:pPr>
    </w:p>
    <w:p w:rsidR="00F914DC" w:rsidRPr="00F914DC" w:rsidRDefault="00F914DC" w:rsidP="00841D00">
      <w:pPr>
        <w:ind w:left="2832"/>
        <w:jc w:val="both"/>
        <w:rPr>
          <w:u w:val="single"/>
        </w:rPr>
      </w:pPr>
      <w:r w:rsidRPr="00F914DC">
        <w:rPr>
          <w:u w:val="single"/>
        </w:rPr>
        <w:t>Einstiegsfall:</w:t>
      </w:r>
    </w:p>
    <w:p w:rsidR="00F914DC" w:rsidRDefault="00F914DC" w:rsidP="00841D00">
      <w:pPr>
        <w:ind w:left="2832"/>
        <w:jc w:val="both"/>
      </w:pPr>
    </w:p>
    <w:p w:rsidR="00F10CB4" w:rsidRDefault="00F914DC" w:rsidP="00841D00">
      <w:pPr>
        <w:ind w:left="2832"/>
        <w:jc w:val="both"/>
      </w:pPr>
      <w:r>
        <w:t>Die Uhrenmanufaktur Präzisionsgeräte AG in Sachsen stellt hochpreisige Armbanduhren sowie Boots- und Flugzeuguhren her. Der Vertrieb erfolgte bislang eher unorganisiert über ihre</w:t>
      </w:r>
      <w:r w:rsidR="00F10CB4">
        <w:t>n</w:t>
      </w:r>
      <w:r>
        <w:t xml:space="preserve"> </w:t>
      </w:r>
      <w:r w:rsidR="00F10CB4">
        <w:t>Stammsitz</w:t>
      </w:r>
      <w:r>
        <w:t xml:space="preserve"> in Glashütte bzw. über einzelne </w:t>
      </w:r>
      <w:r w:rsidR="00F10CB4">
        <w:t>namhafte</w:t>
      </w:r>
      <w:r>
        <w:t xml:space="preserve"> Juweliere in Deutschland. Nunmehr beabsichtigt die Uhrenmanufaktur Präzisionsgeräte AG ihr Vertriebssystem neu zu strukturieren. </w:t>
      </w:r>
      <w:r w:rsidR="009E05AB">
        <w:t>Sie erhalten als selbständige/r Unternehmensberater/in den Auftrag</w:t>
      </w:r>
      <w:r w:rsidR="00F10CB4">
        <w:t>, Modelle für entsprechende Vertriebssysteme unter betriebswirtschaftlichen und juristischen Aspekten zu entwickeln</w:t>
      </w:r>
      <w:r w:rsidR="009E05AB">
        <w:t xml:space="preserve">. </w:t>
      </w:r>
      <w:r w:rsidR="00F10CB4">
        <w:t>Welche Modelle würden Sie empfehlen?</w:t>
      </w:r>
    </w:p>
    <w:p w:rsidR="00F914DC" w:rsidRDefault="00F914DC" w:rsidP="00841D00">
      <w:pPr>
        <w:ind w:left="2832"/>
        <w:jc w:val="both"/>
      </w:pPr>
    </w:p>
    <w:p w:rsidR="00124CF7" w:rsidRPr="00124CF7" w:rsidRDefault="00124CF7" w:rsidP="00841D00">
      <w:pPr>
        <w:ind w:left="2832"/>
        <w:jc w:val="both"/>
        <w:rPr>
          <w:u w:val="single"/>
        </w:rPr>
      </w:pPr>
      <w:r w:rsidRPr="00124CF7">
        <w:rPr>
          <w:u w:val="single"/>
        </w:rPr>
        <w:t>Lösungsmöglichkeiten:</w:t>
      </w:r>
    </w:p>
    <w:p w:rsidR="00124CF7" w:rsidRDefault="00124CF7" w:rsidP="00841D00">
      <w:pPr>
        <w:ind w:left="2832"/>
        <w:jc w:val="both"/>
      </w:pPr>
    </w:p>
    <w:p w:rsidR="00F10CB4" w:rsidRDefault="00F10CB4" w:rsidP="00F10CB4">
      <w:pPr>
        <w:ind w:left="2820"/>
        <w:jc w:val="both"/>
        <w:rPr>
          <w:szCs w:val="24"/>
        </w:rPr>
      </w:pPr>
      <w:r w:rsidRPr="00FF4346">
        <w:rPr>
          <w:szCs w:val="24"/>
        </w:rPr>
        <w:t>Vertriebssysteme/rechtliche Strukturen</w:t>
      </w:r>
      <w:r>
        <w:rPr>
          <w:szCs w:val="24"/>
        </w:rPr>
        <w:t>/P-AG</w:t>
      </w:r>
    </w:p>
    <w:p w:rsidR="00F10CB4" w:rsidRPr="00FF4346" w:rsidRDefault="00F10CB4" w:rsidP="00F10CB4">
      <w:pPr>
        <w:ind w:left="2820"/>
        <w:jc w:val="both"/>
        <w:rPr>
          <w:szCs w:val="24"/>
        </w:rPr>
      </w:pPr>
    </w:p>
    <w:p w:rsidR="00F10CB4" w:rsidRPr="002A6C4C" w:rsidRDefault="00F10CB4" w:rsidP="00F10CB4">
      <w:pPr>
        <w:pStyle w:val="Listenabsatz"/>
        <w:numPr>
          <w:ilvl w:val="0"/>
          <w:numId w:val="18"/>
        </w:numPr>
        <w:ind w:left="3180"/>
        <w:jc w:val="both"/>
        <w:rPr>
          <w:b/>
          <w:szCs w:val="24"/>
        </w:rPr>
      </w:pPr>
      <w:r w:rsidRPr="002A6C4C">
        <w:rPr>
          <w:b/>
          <w:szCs w:val="24"/>
        </w:rPr>
        <w:t>Einheitsgesellschaft (eigene Arbeitnehmer)</w:t>
      </w:r>
    </w:p>
    <w:p w:rsidR="00B66994" w:rsidRDefault="00B66994" w:rsidP="00F10CB4">
      <w:pPr>
        <w:pStyle w:val="Listenabsatz"/>
        <w:numPr>
          <w:ilvl w:val="0"/>
          <w:numId w:val="19"/>
        </w:numPr>
        <w:ind w:left="3540"/>
        <w:jc w:val="both"/>
        <w:rPr>
          <w:szCs w:val="24"/>
        </w:rPr>
      </w:pPr>
      <w:r>
        <w:rPr>
          <w:szCs w:val="24"/>
        </w:rPr>
        <w:t>Arbeitsvertrag, § 611 a BGB</w:t>
      </w:r>
    </w:p>
    <w:p w:rsidR="00F10CB4" w:rsidRPr="00FF4346" w:rsidRDefault="00F10CB4" w:rsidP="00F10CB4">
      <w:pPr>
        <w:pStyle w:val="Listenabsatz"/>
        <w:numPr>
          <w:ilvl w:val="0"/>
          <w:numId w:val="19"/>
        </w:numPr>
        <w:ind w:left="3540"/>
        <w:jc w:val="both"/>
        <w:rPr>
          <w:szCs w:val="24"/>
        </w:rPr>
      </w:pPr>
      <w:r w:rsidRPr="00FF4346">
        <w:rPr>
          <w:szCs w:val="24"/>
        </w:rPr>
        <w:t>z. B. über Zweigniederlassungen, §§ 13 ff HGB</w:t>
      </w:r>
    </w:p>
    <w:p w:rsidR="00F10CB4" w:rsidRPr="00FF4346" w:rsidRDefault="00F10CB4" w:rsidP="00F10CB4">
      <w:pPr>
        <w:pStyle w:val="Listenabsatz"/>
        <w:numPr>
          <w:ilvl w:val="0"/>
          <w:numId w:val="19"/>
        </w:numPr>
        <w:ind w:left="3540"/>
        <w:jc w:val="both"/>
        <w:rPr>
          <w:szCs w:val="24"/>
        </w:rPr>
      </w:pPr>
      <w:r w:rsidRPr="00FF4346">
        <w:rPr>
          <w:szCs w:val="24"/>
        </w:rPr>
        <w:t xml:space="preserve">Verkauf im Namen der </w:t>
      </w:r>
      <w:r>
        <w:rPr>
          <w:szCs w:val="24"/>
        </w:rPr>
        <w:t>P</w:t>
      </w:r>
      <w:r w:rsidRPr="00FF4346">
        <w:rPr>
          <w:szCs w:val="24"/>
        </w:rPr>
        <w:t>-AG, § 56 HGB</w:t>
      </w:r>
    </w:p>
    <w:p w:rsidR="00F10CB4" w:rsidRPr="00FF4346" w:rsidRDefault="00F10CB4" w:rsidP="00F10CB4">
      <w:pPr>
        <w:pStyle w:val="Listenabsatz"/>
        <w:numPr>
          <w:ilvl w:val="0"/>
          <w:numId w:val="19"/>
        </w:numPr>
        <w:ind w:left="3540"/>
        <w:jc w:val="both"/>
        <w:rPr>
          <w:szCs w:val="24"/>
        </w:rPr>
      </w:pPr>
      <w:r w:rsidRPr="00FF4346">
        <w:rPr>
          <w:szCs w:val="24"/>
        </w:rPr>
        <w:t>hohe Kosten über Sozialabgaben und Steuern</w:t>
      </w:r>
    </w:p>
    <w:p w:rsidR="00F10CB4" w:rsidRPr="00FF4346" w:rsidRDefault="00F10CB4" w:rsidP="00F10CB4">
      <w:pPr>
        <w:pStyle w:val="Listenabsatz"/>
        <w:numPr>
          <w:ilvl w:val="0"/>
          <w:numId w:val="19"/>
        </w:numPr>
        <w:ind w:left="3540"/>
        <w:jc w:val="both"/>
        <w:rPr>
          <w:szCs w:val="24"/>
        </w:rPr>
      </w:pPr>
      <w:r w:rsidRPr="00FF4346">
        <w:rPr>
          <w:szCs w:val="24"/>
        </w:rPr>
        <w:t>gute Steuerungsmöglichk</w:t>
      </w:r>
      <w:r>
        <w:rPr>
          <w:szCs w:val="24"/>
        </w:rPr>
        <w:t>eit über Direktionsrecht nach § </w:t>
      </w:r>
      <w:r w:rsidRPr="00FF4346">
        <w:rPr>
          <w:szCs w:val="24"/>
        </w:rPr>
        <w:t>106 GewO</w:t>
      </w:r>
    </w:p>
    <w:p w:rsidR="00F10CB4" w:rsidRDefault="00F10CB4" w:rsidP="00F10CB4">
      <w:pPr>
        <w:pStyle w:val="Listenabsatz"/>
        <w:ind w:left="2820"/>
        <w:jc w:val="both"/>
        <w:rPr>
          <w:szCs w:val="24"/>
        </w:rPr>
      </w:pPr>
    </w:p>
    <w:p w:rsidR="00F10CB4" w:rsidRPr="002A6C4C" w:rsidRDefault="00F10CB4" w:rsidP="00F10CB4">
      <w:pPr>
        <w:pStyle w:val="Listenabsatz"/>
        <w:numPr>
          <w:ilvl w:val="0"/>
          <w:numId w:val="18"/>
        </w:numPr>
        <w:ind w:left="3180"/>
        <w:jc w:val="both"/>
        <w:rPr>
          <w:b/>
          <w:szCs w:val="24"/>
        </w:rPr>
      </w:pPr>
      <w:r w:rsidRPr="002A6C4C">
        <w:rPr>
          <w:b/>
          <w:szCs w:val="24"/>
        </w:rPr>
        <w:t>Handelsvertretersystem, §§ 84 ff HGB</w:t>
      </w:r>
    </w:p>
    <w:p w:rsidR="00F10CB4" w:rsidRPr="00FF4346" w:rsidRDefault="00F10CB4" w:rsidP="00F10CB4">
      <w:pPr>
        <w:pStyle w:val="Listenabsatz"/>
        <w:numPr>
          <w:ilvl w:val="0"/>
          <w:numId w:val="20"/>
        </w:numPr>
        <w:ind w:left="3540"/>
        <w:jc w:val="both"/>
        <w:rPr>
          <w:szCs w:val="24"/>
        </w:rPr>
      </w:pPr>
      <w:r w:rsidRPr="00FF4346">
        <w:rPr>
          <w:szCs w:val="24"/>
        </w:rPr>
        <w:t>selbständige Tätigkeit, § 84 I 2 HGB</w:t>
      </w:r>
    </w:p>
    <w:p w:rsidR="00B66994" w:rsidRDefault="00B66994" w:rsidP="00F10CB4">
      <w:pPr>
        <w:pStyle w:val="Listenabsatz"/>
        <w:numPr>
          <w:ilvl w:val="0"/>
          <w:numId w:val="20"/>
        </w:numPr>
        <w:ind w:left="3540"/>
        <w:jc w:val="both"/>
        <w:rPr>
          <w:szCs w:val="24"/>
        </w:rPr>
      </w:pPr>
      <w:r>
        <w:rPr>
          <w:szCs w:val="24"/>
        </w:rPr>
        <w:t>Abgrenzung zum Arbeitsvertrag, § 611 a BGB</w:t>
      </w:r>
    </w:p>
    <w:p w:rsidR="00F10CB4" w:rsidRPr="00FF4346" w:rsidRDefault="00F10CB4" w:rsidP="00F10CB4">
      <w:pPr>
        <w:pStyle w:val="Listenabsatz"/>
        <w:numPr>
          <w:ilvl w:val="0"/>
          <w:numId w:val="20"/>
        </w:numPr>
        <w:ind w:left="3540"/>
        <w:jc w:val="both"/>
        <w:rPr>
          <w:szCs w:val="24"/>
        </w:rPr>
      </w:pPr>
      <w:r w:rsidRPr="00FF4346">
        <w:rPr>
          <w:szCs w:val="24"/>
        </w:rPr>
        <w:t xml:space="preserve">wird über §§ 167, 164 BGB für </w:t>
      </w:r>
      <w:r w:rsidR="002217B8">
        <w:rPr>
          <w:szCs w:val="24"/>
        </w:rPr>
        <w:t>P</w:t>
      </w:r>
      <w:r w:rsidRPr="00FF4346">
        <w:rPr>
          <w:szCs w:val="24"/>
        </w:rPr>
        <w:t>-AG tätig</w:t>
      </w:r>
    </w:p>
    <w:p w:rsidR="00F10CB4" w:rsidRPr="00FF4346" w:rsidRDefault="00F10CB4" w:rsidP="00F10CB4">
      <w:pPr>
        <w:pStyle w:val="Listenabsatz"/>
        <w:numPr>
          <w:ilvl w:val="0"/>
          <w:numId w:val="20"/>
        </w:numPr>
        <w:ind w:left="3540"/>
        <w:jc w:val="both"/>
        <w:rPr>
          <w:szCs w:val="24"/>
        </w:rPr>
      </w:pPr>
      <w:r w:rsidRPr="00FF4346">
        <w:rPr>
          <w:szCs w:val="24"/>
        </w:rPr>
        <w:t>wird nicht selbst Vertragspartner</w:t>
      </w:r>
    </w:p>
    <w:p w:rsidR="00F10CB4" w:rsidRPr="00FF4346" w:rsidRDefault="00F10CB4" w:rsidP="00F10CB4">
      <w:pPr>
        <w:pStyle w:val="Listenabsatz"/>
        <w:numPr>
          <w:ilvl w:val="0"/>
          <w:numId w:val="20"/>
        </w:numPr>
        <w:ind w:left="3540"/>
        <w:jc w:val="both"/>
        <w:rPr>
          <w:szCs w:val="24"/>
        </w:rPr>
      </w:pPr>
      <w:r w:rsidRPr="00FF4346">
        <w:rPr>
          <w:szCs w:val="24"/>
        </w:rPr>
        <w:t xml:space="preserve">hat auch keinen Anspruch auf das Geschäft, sondern nur Provisionsanspruch gegen </w:t>
      </w:r>
      <w:r>
        <w:rPr>
          <w:szCs w:val="24"/>
        </w:rPr>
        <w:t>P</w:t>
      </w:r>
      <w:r w:rsidRPr="00FF4346">
        <w:rPr>
          <w:szCs w:val="24"/>
        </w:rPr>
        <w:t>-AG nach §§ 87 ff HGB</w:t>
      </w:r>
    </w:p>
    <w:p w:rsidR="00F10CB4" w:rsidRDefault="00F10CB4" w:rsidP="00F10CB4">
      <w:pPr>
        <w:pStyle w:val="Listenabsatz"/>
        <w:ind w:left="2820"/>
        <w:jc w:val="both"/>
        <w:rPr>
          <w:szCs w:val="24"/>
        </w:rPr>
      </w:pPr>
    </w:p>
    <w:p w:rsidR="00F10CB4" w:rsidRPr="002A6C4C" w:rsidRDefault="00F10CB4" w:rsidP="00F10CB4">
      <w:pPr>
        <w:pStyle w:val="Listenabsatz"/>
        <w:numPr>
          <w:ilvl w:val="0"/>
          <w:numId w:val="18"/>
        </w:numPr>
        <w:ind w:left="3180"/>
        <w:jc w:val="both"/>
        <w:rPr>
          <w:b/>
          <w:szCs w:val="24"/>
        </w:rPr>
      </w:pPr>
      <w:r w:rsidRPr="002A6C4C">
        <w:rPr>
          <w:b/>
          <w:szCs w:val="24"/>
        </w:rPr>
        <w:t>Kommissionär/Kommissionsagent</w:t>
      </w:r>
    </w:p>
    <w:p w:rsidR="00F10CB4" w:rsidRPr="00FF4346" w:rsidRDefault="00F10CB4" w:rsidP="00F10CB4">
      <w:pPr>
        <w:pStyle w:val="Listenabsatz"/>
        <w:numPr>
          <w:ilvl w:val="0"/>
          <w:numId w:val="21"/>
        </w:numPr>
        <w:ind w:left="3540"/>
        <w:jc w:val="both"/>
        <w:rPr>
          <w:szCs w:val="24"/>
        </w:rPr>
      </w:pPr>
      <w:r w:rsidRPr="00FF4346">
        <w:rPr>
          <w:szCs w:val="24"/>
        </w:rPr>
        <w:t xml:space="preserve">gewerbsmäßig im eigenen Namen für Rechnung der </w:t>
      </w:r>
      <w:r>
        <w:rPr>
          <w:szCs w:val="24"/>
        </w:rPr>
        <w:t>P</w:t>
      </w:r>
      <w:r>
        <w:rPr>
          <w:szCs w:val="24"/>
        </w:rPr>
        <w:noBreakHyphen/>
      </w:r>
      <w:r w:rsidRPr="00FF4346">
        <w:rPr>
          <w:szCs w:val="24"/>
        </w:rPr>
        <w:t>AG</w:t>
      </w:r>
    </w:p>
    <w:p w:rsidR="00F10CB4" w:rsidRPr="00FF4346" w:rsidRDefault="00F10CB4" w:rsidP="00F10CB4">
      <w:pPr>
        <w:pStyle w:val="Textkrper-Einzug2"/>
        <w:numPr>
          <w:ilvl w:val="0"/>
          <w:numId w:val="21"/>
        </w:numPr>
        <w:ind w:left="3540"/>
      </w:pPr>
      <w:r w:rsidRPr="00FF4346">
        <w:t>Kunden erwerben auch dinglich vom Kommissionär über §§ 929, 185 BGB</w:t>
      </w:r>
    </w:p>
    <w:p w:rsidR="00F10CB4" w:rsidRPr="00FF4346" w:rsidRDefault="00F10CB4" w:rsidP="00F10CB4">
      <w:pPr>
        <w:pStyle w:val="Listenabsatz"/>
        <w:numPr>
          <w:ilvl w:val="0"/>
          <w:numId w:val="21"/>
        </w:numPr>
        <w:ind w:left="3540"/>
        <w:jc w:val="both"/>
        <w:rPr>
          <w:szCs w:val="24"/>
        </w:rPr>
      </w:pPr>
      <w:r w:rsidRPr="00FF4346">
        <w:rPr>
          <w:szCs w:val="24"/>
        </w:rPr>
        <w:t>Kommissionär verkauft im eigenen Namen, § 383 HGB</w:t>
      </w:r>
      <w:r>
        <w:rPr>
          <w:szCs w:val="24"/>
        </w:rPr>
        <w:t>; wirtschaftlicher Vertragspartner bleibt häufig unbekannt</w:t>
      </w:r>
    </w:p>
    <w:p w:rsidR="00F10CB4" w:rsidRPr="00FF4346" w:rsidRDefault="00F10CB4" w:rsidP="00F10CB4">
      <w:pPr>
        <w:pStyle w:val="Listenabsatz"/>
        <w:numPr>
          <w:ilvl w:val="0"/>
          <w:numId w:val="21"/>
        </w:numPr>
        <w:ind w:left="3540"/>
        <w:jc w:val="both"/>
        <w:rPr>
          <w:szCs w:val="24"/>
        </w:rPr>
      </w:pPr>
      <w:r>
        <w:rPr>
          <w:szCs w:val="24"/>
        </w:rPr>
        <w:t>P</w:t>
      </w:r>
      <w:r w:rsidRPr="00FF4346">
        <w:rPr>
          <w:szCs w:val="24"/>
        </w:rPr>
        <w:t>-AG hat keinen unmittelbaren Anspruch gegen den Endverbraucher, § 392 HGB</w:t>
      </w:r>
    </w:p>
    <w:p w:rsidR="00F10CB4" w:rsidRPr="00FF4346" w:rsidRDefault="00F10CB4" w:rsidP="00F10CB4">
      <w:pPr>
        <w:pStyle w:val="Listenabsatz"/>
        <w:numPr>
          <w:ilvl w:val="0"/>
          <w:numId w:val="21"/>
        </w:numPr>
        <w:ind w:left="3540"/>
        <w:jc w:val="both"/>
        <w:rPr>
          <w:szCs w:val="24"/>
        </w:rPr>
      </w:pPr>
      <w:r w:rsidRPr="00FF4346">
        <w:rPr>
          <w:szCs w:val="24"/>
        </w:rPr>
        <w:t xml:space="preserve">nur geringe Steuerungsmöglichkeit von </w:t>
      </w:r>
      <w:r>
        <w:rPr>
          <w:szCs w:val="24"/>
        </w:rPr>
        <w:t>P</w:t>
      </w:r>
      <w:r w:rsidRPr="00FF4346">
        <w:rPr>
          <w:szCs w:val="24"/>
        </w:rPr>
        <w:t>-AG</w:t>
      </w:r>
    </w:p>
    <w:p w:rsidR="00F10CB4" w:rsidRPr="00FF4346" w:rsidRDefault="00F10CB4" w:rsidP="00F10CB4">
      <w:pPr>
        <w:pStyle w:val="Listenabsatz"/>
        <w:numPr>
          <w:ilvl w:val="0"/>
          <w:numId w:val="21"/>
        </w:numPr>
        <w:ind w:left="3540"/>
        <w:jc w:val="both"/>
        <w:rPr>
          <w:szCs w:val="24"/>
        </w:rPr>
      </w:pPr>
      <w:r w:rsidRPr="00FF4346">
        <w:rPr>
          <w:szCs w:val="24"/>
        </w:rPr>
        <w:t>aber niedrige Kosten</w:t>
      </w:r>
      <w:r>
        <w:rPr>
          <w:szCs w:val="24"/>
        </w:rPr>
        <w:t>; nur Provisionsanspruch, § 396 </w:t>
      </w:r>
      <w:r w:rsidRPr="00FF4346">
        <w:rPr>
          <w:szCs w:val="24"/>
        </w:rPr>
        <w:t>HGB</w:t>
      </w:r>
    </w:p>
    <w:p w:rsidR="00F10CB4" w:rsidRDefault="00F10CB4" w:rsidP="00F10CB4">
      <w:pPr>
        <w:pStyle w:val="Listenabsatz"/>
        <w:ind w:left="2820"/>
        <w:jc w:val="both"/>
        <w:rPr>
          <w:szCs w:val="24"/>
        </w:rPr>
      </w:pPr>
    </w:p>
    <w:p w:rsidR="00B66994" w:rsidRDefault="00B66994" w:rsidP="00F10CB4">
      <w:pPr>
        <w:pStyle w:val="Listenabsatz"/>
        <w:ind w:left="2820"/>
        <w:jc w:val="both"/>
        <w:rPr>
          <w:szCs w:val="24"/>
        </w:rPr>
      </w:pPr>
    </w:p>
    <w:p w:rsidR="00B66994" w:rsidRDefault="00B66994" w:rsidP="00F10CB4">
      <w:pPr>
        <w:pStyle w:val="Listenabsatz"/>
        <w:ind w:left="2820"/>
        <w:jc w:val="both"/>
        <w:rPr>
          <w:szCs w:val="24"/>
        </w:rPr>
      </w:pPr>
    </w:p>
    <w:p w:rsidR="00F10CB4" w:rsidRPr="00FF4346" w:rsidRDefault="00F10CB4" w:rsidP="00F10CB4">
      <w:pPr>
        <w:pStyle w:val="Listenabsatz"/>
        <w:numPr>
          <w:ilvl w:val="0"/>
          <w:numId w:val="18"/>
        </w:numPr>
        <w:ind w:left="3180"/>
        <w:jc w:val="both"/>
        <w:rPr>
          <w:szCs w:val="24"/>
        </w:rPr>
      </w:pPr>
      <w:r w:rsidRPr="002A6C4C">
        <w:rPr>
          <w:b/>
          <w:szCs w:val="24"/>
        </w:rPr>
        <w:lastRenderedPageBreak/>
        <w:t>Vertragshändler</w:t>
      </w:r>
      <w:r w:rsidRPr="00FF4346">
        <w:rPr>
          <w:szCs w:val="24"/>
        </w:rPr>
        <w:t xml:space="preserve"> (insbesondere beim Pkw-Vertrieb gesetzlich nicht geregelt)</w:t>
      </w:r>
    </w:p>
    <w:p w:rsidR="00F10CB4" w:rsidRPr="00FF4346" w:rsidRDefault="00F10CB4" w:rsidP="00F10CB4">
      <w:pPr>
        <w:pStyle w:val="Listenabsatz"/>
        <w:numPr>
          <w:ilvl w:val="0"/>
          <w:numId w:val="22"/>
        </w:numPr>
        <w:ind w:left="3540"/>
        <w:jc w:val="both"/>
        <w:rPr>
          <w:szCs w:val="24"/>
        </w:rPr>
      </w:pPr>
      <w:r w:rsidRPr="00FF4346">
        <w:rPr>
          <w:szCs w:val="24"/>
        </w:rPr>
        <w:t xml:space="preserve">Vertragshändler ist ein fest in ein Vertriebssystem eingebundener und zur </w:t>
      </w:r>
      <w:r w:rsidRPr="004D7BC5">
        <w:rPr>
          <w:szCs w:val="24"/>
        </w:rPr>
        <w:t>Pflege</w:t>
      </w:r>
      <w:r w:rsidRPr="00FF4346">
        <w:rPr>
          <w:szCs w:val="24"/>
        </w:rPr>
        <w:t xml:space="preserve"> der Marke verpflichteter Eigenhändler</w:t>
      </w:r>
    </w:p>
    <w:p w:rsidR="00F10CB4" w:rsidRPr="00FF4346" w:rsidRDefault="00F10CB4" w:rsidP="00F10CB4">
      <w:pPr>
        <w:pStyle w:val="Listenabsatz"/>
        <w:numPr>
          <w:ilvl w:val="0"/>
          <w:numId w:val="22"/>
        </w:numPr>
        <w:ind w:left="3540"/>
        <w:jc w:val="both"/>
        <w:rPr>
          <w:szCs w:val="24"/>
        </w:rPr>
      </w:pPr>
      <w:r w:rsidRPr="00FF4346">
        <w:rPr>
          <w:szCs w:val="24"/>
        </w:rPr>
        <w:t>er handelt nach außen im eigenen Namen und für eigene Rechnung</w:t>
      </w:r>
    </w:p>
    <w:p w:rsidR="00F10CB4" w:rsidRPr="00FF4346" w:rsidRDefault="00F10CB4" w:rsidP="00F10CB4">
      <w:pPr>
        <w:pStyle w:val="Kopfzeile"/>
        <w:numPr>
          <w:ilvl w:val="0"/>
          <w:numId w:val="22"/>
        </w:numPr>
        <w:tabs>
          <w:tab w:val="clear" w:pos="4536"/>
          <w:tab w:val="clear" w:pos="9072"/>
        </w:tabs>
        <w:ind w:left="3540"/>
        <w:jc w:val="both"/>
        <w:rPr>
          <w:szCs w:val="24"/>
        </w:rPr>
      </w:pPr>
      <w:r w:rsidRPr="00FF4346">
        <w:rPr>
          <w:szCs w:val="24"/>
        </w:rPr>
        <w:t xml:space="preserve">er kauft die Waren vom Markeninhaber </w:t>
      </w:r>
      <w:r>
        <w:rPr>
          <w:szCs w:val="24"/>
        </w:rPr>
        <w:t>P</w:t>
      </w:r>
      <w:r w:rsidRPr="00FF4346">
        <w:rPr>
          <w:szCs w:val="24"/>
        </w:rPr>
        <w:t>-AG und verkauft sie weiter, §§ 4</w:t>
      </w:r>
      <w:r>
        <w:rPr>
          <w:szCs w:val="24"/>
        </w:rPr>
        <w:t>33, </w:t>
      </w:r>
      <w:r w:rsidRPr="00FF4346">
        <w:rPr>
          <w:szCs w:val="24"/>
        </w:rPr>
        <w:t>929 BGB</w:t>
      </w:r>
      <w:r>
        <w:rPr>
          <w:szCs w:val="24"/>
        </w:rPr>
        <w:t>/sog. Käuferkette</w:t>
      </w:r>
    </w:p>
    <w:p w:rsidR="00F10CB4" w:rsidRPr="00FF4346" w:rsidRDefault="00F10CB4" w:rsidP="00F10CB4">
      <w:pPr>
        <w:pStyle w:val="Kopfzeile"/>
        <w:numPr>
          <w:ilvl w:val="0"/>
          <w:numId w:val="22"/>
        </w:numPr>
        <w:tabs>
          <w:tab w:val="clear" w:pos="4536"/>
          <w:tab w:val="clear" w:pos="9072"/>
        </w:tabs>
        <w:ind w:left="3540"/>
        <w:jc w:val="both"/>
        <w:rPr>
          <w:szCs w:val="24"/>
        </w:rPr>
      </w:pPr>
      <w:r w:rsidRPr="00FF4346">
        <w:rPr>
          <w:szCs w:val="24"/>
        </w:rPr>
        <w:t xml:space="preserve">ist aufgrund eines Rahmenvertrages in das Vertriebssystem der </w:t>
      </w:r>
      <w:r>
        <w:rPr>
          <w:szCs w:val="24"/>
        </w:rPr>
        <w:t>P</w:t>
      </w:r>
      <w:r w:rsidRPr="00FF4346">
        <w:rPr>
          <w:szCs w:val="24"/>
        </w:rPr>
        <w:t>-AG eingegliedert wie ein Handelsvertreter</w:t>
      </w:r>
    </w:p>
    <w:p w:rsidR="00F10CB4" w:rsidRPr="00FF4346" w:rsidRDefault="00F10CB4" w:rsidP="00F10CB4">
      <w:pPr>
        <w:pStyle w:val="Kopfzeile"/>
        <w:numPr>
          <w:ilvl w:val="0"/>
          <w:numId w:val="22"/>
        </w:numPr>
        <w:tabs>
          <w:tab w:val="clear" w:pos="4536"/>
          <w:tab w:val="clear" w:pos="9072"/>
        </w:tabs>
        <w:ind w:left="3540"/>
        <w:jc w:val="both"/>
        <w:rPr>
          <w:szCs w:val="24"/>
        </w:rPr>
      </w:pPr>
      <w:r w:rsidRPr="00FF4346">
        <w:rPr>
          <w:szCs w:val="24"/>
        </w:rPr>
        <w:t>analoge Anwendung § 89 b HGB strittig (u. U. bei Übergabe der Kundendateien; dagegen nicht bei starker Marke)</w:t>
      </w:r>
    </w:p>
    <w:p w:rsidR="00F10CB4" w:rsidRDefault="00F10CB4" w:rsidP="00F10CB4">
      <w:pPr>
        <w:pStyle w:val="Kopfzeile"/>
        <w:tabs>
          <w:tab w:val="clear" w:pos="4536"/>
          <w:tab w:val="clear" w:pos="9072"/>
        </w:tabs>
        <w:ind w:left="2820"/>
        <w:jc w:val="both"/>
        <w:rPr>
          <w:szCs w:val="24"/>
        </w:rPr>
      </w:pPr>
    </w:p>
    <w:p w:rsidR="00F10CB4" w:rsidRPr="00FF4346" w:rsidRDefault="00F10CB4" w:rsidP="00F10CB4">
      <w:pPr>
        <w:pStyle w:val="Kopfzeile"/>
        <w:numPr>
          <w:ilvl w:val="0"/>
          <w:numId w:val="18"/>
        </w:numPr>
        <w:tabs>
          <w:tab w:val="clear" w:pos="4536"/>
          <w:tab w:val="clear" w:pos="9072"/>
        </w:tabs>
        <w:ind w:left="3180"/>
        <w:jc w:val="both"/>
        <w:rPr>
          <w:szCs w:val="24"/>
        </w:rPr>
      </w:pPr>
      <w:r w:rsidRPr="002A6C4C">
        <w:rPr>
          <w:b/>
          <w:szCs w:val="24"/>
        </w:rPr>
        <w:t>Franchise-System</w:t>
      </w:r>
      <w:r w:rsidRPr="00FF4346">
        <w:rPr>
          <w:szCs w:val="24"/>
        </w:rPr>
        <w:t xml:space="preserve"> (starke Markenbedeutung/gesetzlich nicht geregelt)</w:t>
      </w:r>
    </w:p>
    <w:p w:rsidR="00F10CB4" w:rsidRPr="00FF4346" w:rsidRDefault="00F10CB4" w:rsidP="00F10CB4">
      <w:pPr>
        <w:pStyle w:val="Kopfzeile"/>
        <w:numPr>
          <w:ilvl w:val="0"/>
          <w:numId w:val="23"/>
        </w:numPr>
        <w:tabs>
          <w:tab w:val="clear" w:pos="4536"/>
          <w:tab w:val="clear" w:pos="9072"/>
        </w:tabs>
        <w:ind w:left="3540"/>
        <w:jc w:val="both"/>
        <w:rPr>
          <w:szCs w:val="24"/>
        </w:rPr>
      </w:pPr>
      <w:r w:rsidRPr="00FF4346">
        <w:rPr>
          <w:szCs w:val="24"/>
        </w:rPr>
        <w:t>vergleichbar mit Vertragshändler</w:t>
      </w:r>
    </w:p>
    <w:p w:rsidR="00F10CB4" w:rsidRPr="00FF4346" w:rsidRDefault="00F10CB4" w:rsidP="00F10CB4">
      <w:pPr>
        <w:pStyle w:val="Kopfzeile"/>
        <w:numPr>
          <w:ilvl w:val="0"/>
          <w:numId w:val="23"/>
        </w:numPr>
        <w:tabs>
          <w:tab w:val="clear" w:pos="4536"/>
          <w:tab w:val="clear" w:pos="9072"/>
        </w:tabs>
        <w:ind w:left="3540"/>
        <w:jc w:val="both"/>
        <w:rPr>
          <w:szCs w:val="24"/>
        </w:rPr>
      </w:pPr>
      <w:r w:rsidRPr="00FF4346">
        <w:rPr>
          <w:szCs w:val="24"/>
        </w:rPr>
        <w:t>im eigenen Namen für eigene Rechnung</w:t>
      </w:r>
    </w:p>
    <w:p w:rsidR="00F10CB4" w:rsidRPr="00FF4346" w:rsidRDefault="00F10CB4" w:rsidP="00F10CB4">
      <w:pPr>
        <w:pStyle w:val="Kopfzeile"/>
        <w:numPr>
          <w:ilvl w:val="0"/>
          <w:numId w:val="23"/>
        </w:numPr>
        <w:tabs>
          <w:tab w:val="clear" w:pos="4536"/>
          <w:tab w:val="clear" w:pos="9072"/>
        </w:tabs>
        <w:ind w:left="3540"/>
        <w:jc w:val="both"/>
        <w:rPr>
          <w:szCs w:val="24"/>
        </w:rPr>
      </w:pPr>
      <w:r w:rsidRPr="00FF4346">
        <w:rPr>
          <w:szCs w:val="24"/>
        </w:rPr>
        <w:t>macht sich Erzeugnisse, Dienstleistungen sowie Vertriebs- und Marketingsystem des Markeninhabers (</w:t>
      </w:r>
      <w:r>
        <w:rPr>
          <w:szCs w:val="24"/>
        </w:rPr>
        <w:t>P</w:t>
      </w:r>
      <w:r>
        <w:rPr>
          <w:szCs w:val="24"/>
        </w:rPr>
        <w:noBreakHyphen/>
      </w:r>
      <w:r w:rsidRPr="00FF4346">
        <w:rPr>
          <w:szCs w:val="24"/>
        </w:rPr>
        <w:t>AG) zunutze</w:t>
      </w:r>
    </w:p>
    <w:p w:rsidR="00F10CB4" w:rsidRPr="00FF4346" w:rsidRDefault="00F10CB4" w:rsidP="00F10CB4">
      <w:pPr>
        <w:pStyle w:val="Kopfzeile"/>
        <w:numPr>
          <w:ilvl w:val="0"/>
          <w:numId w:val="23"/>
        </w:numPr>
        <w:tabs>
          <w:tab w:val="clear" w:pos="4536"/>
          <w:tab w:val="clear" w:pos="9072"/>
        </w:tabs>
        <w:ind w:left="3540"/>
        <w:jc w:val="both"/>
        <w:rPr>
          <w:szCs w:val="24"/>
        </w:rPr>
      </w:pPr>
      <w:r w:rsidRPr="00FF4346">
        <w:rPr>
          <w:szCs w:val="24"/>
        </w:rPr>
        <w:t>Grundlage: Rahmenvertrag mit Markeninhaber</w:t>
      </w:r>
    </w:p>
    <w:p w:rsidR="00F10CB4" w:rsidRPr="00FF4346" w:rsidRDefault="00F10CB4" w:rsidP="00F10CB4">
      <w:pPr>
        <w:pStyle w:val="Kopfzeile"/>
        <w:numPr>
          <w:ilvl w:val="0"/>
          <w:numId w:val="23"/>
        </w:numPr>
        <w:tabs>
          <w:tab w:val="clear" w:pos="4536"/>
          <w:tab w:val="clear" w:pos="9072"/>
        </w:tabs>
        <w:ind w:left="3540"/>
        <w:jc w:val="both"/>
        <w:rPr>
          <w:szCs w:val="24"/>
        </w:rPr>
      </w:pPr>
      <w:r w:rsidRPr="00FF4346">
        <w:rPr>
          <w:szCs w:val="24"/>
        </w:rPr>
        <w:t>Analoge Anwendung von § 89 b HGB sehr fraglich bei starker Sogwirkung der Marke!</w:t>
      </w:r>
    </w:p>
    <w:p w:rsidR="00F10CB4" w:rsidRPr="00FF4346" w:rsidRDefault="00F10CB4" w:rsidP="00F10CB4">
      <w:pPr>
        <w:pStyle w:val="Kopfzeile"/>
        <w:numPr>
          <w:ilvl w:val="0"/>
          <w:numId w:val="23"/>
        </w:numPr>
        <w:tabs>
          <w:tab w:val="clear" w:pos="4536"/>
          <w:tab w:val="clear" w:pos="9072"/>
        </w:tabs>
        <w:ind w:left="3540"/>
        <w:jc w:val="both"/>
        <w:rPr>
          <w:szCs w:val="24"/>
        </w:rPr>
      </w:pPr>
      <w:r w:rsidRPr="00FF4346">
        <w:rPr>
          <w:szCs w:val="24"/>
        </w:rPr>
        <w:t>Verwendung der Symbole, Warenzeichen und Ausstattung durch Rahmenvertrag vorgesehen</w:t>
      </w:r>
    </w:p>
    <w:p w:rsidR="00F10CB4" w:rsidRDefault="00F10CB4" w:rsidP="00841D00">
      <w:pPr>
        <w:ind w:left="2832"/>
        <w:jc w:val="both"/>
      </w:pPr>
    </w:p>
    <w:p w:rsidR="003337AA" w:rsidRDefault="003337AA" w:rsidP="00841D00">
      <w:pPr>
        <w:ind w:left="2832"/>
        <w:jc w:val="both"/>
      </w:pPr>
    </w:p>
    <w:p w:rsidR="003337AA" w:rsidRPr="003337AA" w:rsidRDefault="003337AA" w:rsidP="00841D00">
      <w:pPr>
        <w:ind w:left="2832"/>
        <w:rPr>
          <w:b/>
          <w:bCs/>
        </w:rPr>
      </w:pPr>
      <w:r w:rsidRPr="003337AA">
        <w:rPr>
          <w:b/>
          <w:bCs/>
        </w:rPr>
        <w:t xml:space="preserve">I. </w:t>
      </w:r>
      <w:r w:rsidR="00FB00A3">
        <w:rPr>
          <w:b/>
          <w:bCs/>
        </w:rPr>
        <w:t>Handelsrecht/</w:t>
      </w:r>
      <w:r w:rsidRPr="003337AA">
        <w:rPr>
          <w:b/>
          <w:bCs/>
        </w:rPr>
        <w:t>Recht der Personenhandelsgesellschaften</w:t>
      </w:r>
    </w:p>
    <w:p w:rsidR="003337AA" w:rsidRPr="000F3C88" w:rsidRDefault="003337AA" w:rsidP="00841D00">
      <w:pPr>
        <w:ind w:left="2832"/>
        <w:rPr>
          <w:bCs/>
        </w:rPr>
      </w:pPr>
    </w:p>
    <w:p w:rsidR="003337AA" w:rsidRPr="00D44AEF" w:rsidRDefault="003337AA" w:rsidP="00841D00">
      <w:pPr>
        <w:ind w:left="2832"/>
        <w:rPr>
          <w:b/>
          <w:bCs/>
        </w:rPr>
      </w:pPr>
      <w:r w:rsidRPr="00D44AEF">
        <w:rPr>
          <w:b/>
          <w:bCs/>
        </w:rPr>
        <w:t>Fall 1:</w:t>
      </w:r>
    </w:p>
    <w:p w:rsidR="003337AA" w:rsidRDefault="003337AA" w:rsidP="00841D00">
      <w:pPr>
        <w:ind w:left="2832"/>
        <w:jc w:val="both"/>
      </w:pPr>
    </w:p>
    <w:p w:rsidR="003337AA" w:rsidRDefault="003337AA" w:rsidP="00841D00">
      <w:pPr>
        <w:ind w:left="2832"/>
        <w:jc w:val="both"/>
      </w:pPr>
      <w:r>
        <w:t xml:space="preserve">Die BWL-Studentinnen E, F und G wollen in den Semesterferien gemeinsam einen Fruchtsaftstand vor der Hochschule betreiben, um ihre finanzielle Situation zu verbessern. Aus diesem Grunde schaffen sie sich einen Schiebekarren, eine Obstpresse, sowie zweitausend Einwegbecher und fünftausend </w:t>
      </w:r>
      <w:proofErr w:type="spellStart"/>
      <w:r>
        <w:t>Jaffa</w:t>
      </w:r>
      <w:proofErr w:type="spellEnd"/>
      <w:r>
        <w:t>-Orangen an. Das Geschäft entwickelt sich gut. Nach zwei Jahren gibt es Streit und E fragt an, welche Rechtsbeziehungen zwischen ihnen bestehen, da sie überhaupt nich</w:t>
      </w:r>
      <w:r w:rsidR="00066E76">
        <w:t>ts schriftlich vereinbart haben (GbR in jedem Fall, OHG eher fraglich; schriftliche Vereinbarung nicht erforderlich).</w:t>
      </w:r>
    </w:p>
    <w:p w:rsidR="003337AA" w:rsidRDefault="003337AA" w:rsidP="00841D00">
      <w:pPr>
        <w:ind w:left="2832"/>
        <w:jc w:val="both"/>
      </w:pPr>
    </w:p>
    <w:p w:rsidR="003337AA" w:rsidRPr="00D44AEF" w:rsidRDefault="003337AA" w:rsidP="00841D00">
      <w:pPr>
        <w:ind w:left="2832"/>
        <w:jc w:val="both"/>
        <w:rPr>
          <w:b/>
          <w:bCs/>
        </w:rPr>
      </w:pPr>
      <w:r w:rsidRPr="00D44AEF">
        <w:rPr>
          <w:b/>
          <w:bCs/>
        </w:rPr>
        <w:t>Fall 2:</w:t>
      </w:r>
    </w:p>
    <w:p w:rsidR="003337AA" w:rsidRDefault="003337AA" w:rsidP="00841D00">
      <w:pPr>
        <w:ind w:left="2832"/>
        <w:jc w:val="both"/>
      </w:pPr>
    </w:p>
    <w:p w:rsidR="003337AA" w:rsidRDefault="003337AA" w:rsidP="00841D00">
      <w:pPr>
        <w:ind w:left="2832"/>
        <w:jc w:val="both"/>
      </w:pPr>
      <w:r>
        <w:t>Wie Fall 1, nunmehr fragen E, F und G Sie vor Beginn ihrer wirtschaftlichen Tätigkeit, was Sie ihnen a</w:t>
      </w:r>
      <w:r w:rsidR="00066E76">
        <w:t xml:space="preserve">ls Regelungen </w:t>
      </w:r>
      <w:r w:rsidR="00066E76">
        <w:lastRenderedPageBreak/>
        <w:t>empfehlen würden (Gründung einer GmbH bzw. UG, sog. 1</w:t>
      </w:r>
      <w:r w:rsidR="00066E76">
        <w:noBreakHyphen/>
        <w:t xml:space="preserve">Euro-GmbH; Gründung einer Ltd.?). </w:t>
      </w:r>
    </w:p>
    <w:p w:rsidR="003337AA" w:rsidRDefault="003337AA" w:rsidP="00841D00">
      <w:pPr>
        <w:ind w:left="2832"/>
        <w:jc w:val="both"/>
      </w:pPr>
    </w:p>
    <w:p w:rsidR="003337AA" w:rsidRPr="00B66994" w:rsidRDefault="003337AA" w:rsidP="00841D00">
      <w:pPr>
        <w:ind w:left="2832"/>
        <w:jc w:val="both"/>
        <w:rPr>
          <w:b/>
          <w:bCs/>
          <w:szCs w:val="24"/>
        </w:rPr>
      </w:pPr>
      <w:r w:rsidRPr="00B66994">
        <w:rPr>
          <w:b/>
          <w:bCs/>
          <w:szCs w:val="24"/>
        </w:rPr>
        <w:t>Fall 3:</w:t>
      </w:r>
    </w:p>
    <w:p w:rsidR="003337AA" w:rsidRPr="00B66994" w:rsidRDefault="003337AA" w:rsidP="00841D00">
      <w:pPr>
        <w:ind w:left="2832"/>
        <w:jc w:val="both"/>
        <w:rPr>
          <w:szCs w:val="24"/>
        </w:rPr>
      </w:pPr>
    </w:p>
    <w:p w:rsidR="003337AA" w:rsidRPr="00B66994" w:rsidRDefault="003337AA" w:rsidP="00841D00">
      <w:pPr>
        <w:ind w:left="2832"/>
        <w:jc w:val="both"/>
        <w:rPr>
          <w:szCs w:val="24"/>
        </w:rPr>
      </w:pPr>
      <w:r w:rsidRPr="00B66994">
        <w:rPr>
          <w:szCs w:val="24"/>
        </w:rPr>
        <w:t xml:space="preserve">Die Gastronomen X und Y haben sich zum Betrieb eines Fischgroßhandels zusammengeschlossen. X hat in erster Linie das Kapital und Y den Sachverstand beigesteuert. Die Gesellschaft ist als OHG im Handelsregister angemeldet. Ohne Wissen des X verkauft Y leichtfertig nicht einwandfreie Fischwaren. Hierdurch erleiden Kunden erheblich gesundheitliche Schäden. </w:t>
      </w:r>
    </w:p>
    <w:p w:rsidR="005B2A3B" w:rsidRPr="00B66994" w:rsidRDefault="005B2A3B" w:rsidP="00841D00">
      <w:pPr>
        <w:ind w:left="2832"/>
        <w:jc w:val="both"/>
        <w:rPr>
          <w:szCs w:val="24"/>
        </w:rPr>
      </w:pPr>
    </w:p>
    <w:p w:rsidR="003337AA" w:rsidRPr="00B66994" w:rsidRDefault="003337AA" w:rsidP="00841D00">
      <w:pPr>
        <w:ind w:left="2832"/>
        <w:jc w:val="both"/>
        <w:rPr>
          <w:szCs w:val="24"/>
        </w:rPr>
      </w:pPr>
      <w:r w:rsidRPr="00B66994">
        <w:rPr>
          <w:szCs w:val="24"/>
        </w:rPr>
        <w:t xml:space="preserve">a) Durfte Y überhaupt entsprechend §§ 125, 126 HGB ohne X handeln? </w:t>
      </w:r>
    </w:p>
    <w:p w:rsidR="003337AA" w:rsidRPr="00B66994" w:rsidRDefault="003337AA" w:rsidP="00841D00">
      <w:pPr>
        <w:ind w:left="2832"/>
        <w:jc w:val="both"/>
        <w:rPr>
          <w:szCs w:val="24"/>
        </w:rPr>
      </w:pPr>
      <w:r w:rsidRPr="00B66994">
        <w:rPr>
          <w:szCs w:val="24"/>
        </w:rPr>
        <w:t>b) Die geschädigten Kunden möchten X persönlich entsprechend § 128 HGB auf Schadensersatz verklagen. Anspruchsgrundlage sind die §§ 280, 241 BGB.</w:t>
      </w:r>
    </w:p>
    <w:p w:rsidR="003337AA" w:rsidRPr="00B66994" w:rsidRDefault="003337AA" w:rsidP="00841D00">
      <w:pPr>
        <w:ind w:left="2832"/>
        <w:jc w:val="both"/>
        <w:rPr>
          <w:szCs w:val="24"/>
        </w:rPr>
      </w:pPr>
    </w:p>
    <w:p w:rsidR="003337AA" w:rsidRPr="00B66994" w:rsidRDefault="003337AA" w:rsidP="00841D00">
      <w:pPr>
        <w:ind w:left="2832"/>
        <w:jc w:val="both"/>
        <w:rPr>
          <w:b/>
          <w:bCs/>
          <w:szCs w:val="24"/>
        </w:rPr>
      </w:pPr>
      <w:r w:rsidRPr="00B66994">
        <w:rPr>
          <w:b/>
          <w:bCs/>
          <w:szCs w:val="24"/>
        </w:rPr>
        <w:t xml:space="preserve">Fall </w:t>
      </w:r>
      <w:r w:rsidR="002217B8">
        <w:rPr>
          <w:b/>
          <w:bCs/>
          <w:szCs w:val="24"/>
        </w:rPr>
        <w:t>4</w:t>
      </w:r>
      <w:r w:rsidRPr="00B66994">
        <w:rPr>
          <w:b/>
          <w:bCs/>
          <w:szCs w:val="24"/>
        </w:rPr>
        <w:t>:</w:t>
      </w:r>
    </w:p>
    <w:p w:rsidR="003337AA" w:rsidRPr="00B66994" w:rsidRDefault="003337AA" w:rsidP="00841D00">
      <w:pPr>
        <w:ind w:left="2832"/>
        <w:jc w:val="both"/>
        <w:rPr>
          <w:szCs w:val="24"/>
        </w:rPr>
      </w:pPr>
    </w:p>
    <w:p w:rsidR="003337AA" w:rsidRPr="00B66994" w:rsidRDefault="003337AA" w:rsidP="00841D00">
      <w:pPr>
        <w:ind w:left="2832"/>
        <w:jc w:val="both"/>
        <w:rPr>
          <w:szCs w:val="24"/>
        </w:rPr>
      </w:pPr>
      <w:r w:rsidRPr="00B66994">
        <w:rPr>
          <w:szCs w:val="24"/>
        </w:rPr>
        <w:t>Wie</w:t>
      </w:r>
      <w:r>
        <w:t xml:space="preserve"> </w:t>
      </w:r>
      <w:r w:rsidR="002217B8">
        <w:t>zuvor</w:t>
      </w:r>
      <w:r>
        <w:t>, nunmehr nehm</w:t>
      </w:r>
      <w:r w:rsidR="002217B8">
        <w:t>en X und Y im laufenden Jahr 201</w:t>
      </w:r>
      <w:r>
        <w:t xml:space="preserve">9 den Z als weiteren Gesellschafter mit in die OHG auf. X tritt aus </w:t>
      </w:r>
      <w:r w:rsidRPr="00B66994">
        <w:rPr>
          <w:szCs w:val="24"/>
        </w:rPr>
        <w:t>Altersgründen am 30.06.20</w:t>
      </w:r>
      <w:r w:rsidR="002217B8">
        <w:rPr>
          <w:szCs w:val="24"/>
        </w:rPr>
        <w:t>2</w:t>
      </w:r>
      <w:r w:rsidRPr="00B66994">
        <w:rPr>
          <w:szCs w:val="24"/>
        </w:rPr>
        <w:t>0 aus der OHG aus. Haften Z und X auch, wenn der verdorbene Fisch vor ihrem Eintritt bzw. nach ihrem Austritt verkauft worden wäre (§§ 130, 160 HGB)?</w:t>
      </w:r>
    </w:p>
    <w:p w:rsidR="00B66994" w:rsidRDefault="00B66994" w:rsidP="00841D00">
      <w:pPr>
        <w:ind w:left="2832"/>
        <w:jc w:val="both"/>
      </w:pPr>
    </w:p>
    <w:p w:rsidR="003337AA" w:rsidRPr="00B66994" w:rsidRDefault="003337AA" w:rsidP="00841D00">
      <w:pPr>
        <w:ind w:left="2832"/>
        <w:jc w:val="both"/>
        <w:rPr>
          <w:b/>
          <w:bCs/>
          <w:szCs w:val="24"/>
        </w:rPr>
      </w:pPr>
      <w:r w:rsidRPr="00B66994">
        <w:rPr>
          <w:b/>
          <w:bCs/>
          <w:szCs w:val="24"/>
        </w:rPr>
        <w:t xml:space="preserve">Fall </w:t>
      </w:r>
      <w:r w:rsidR="002217B8">
        <w:rPr>
          <w:b/>
          <w:bCs/>
          <w:szCs w:val="24"/>
        </w:rPr>
        <w:t>5</w:t>
      </w:r>
      <w:r w:rsidRPr="00B66994">
        <w:rPr>
          <w:b/>
          <w:bCs/>
          <w:szCs w:val="24"/>
        </w:rPr>
        <w:t>:</w:t>
      </w:r>
    </w:p>
    <w:p w:rsidR="003337AA" w:rsidRPr="00B66994" w:rsidRDefault="003337AA" w:rsidP="00841D00">
      <w:pPr>
        <w:ind w:left="2832"/>
        <w:jc w:val="both"/>
        <w:rPr>
          <w:szCs w:val="24"/>
        </w:rPr>
      </w:pPr>
    </w:p>
    <w:p w:rsidR="003337AA" w:rsidRDefault="003337AA" w:rsidP="00841D00">
      <w:pPr>
        <w:ind w:left="2832"/>
        <w:jc w:val="both"/>
      </w:pPr>
      <w:r w:rsidRPr="00B66994">
        <w:rPr>
          <w:szCs w:val="24"/>
        </w:rPr>
        <w:t>A, B und C wollen gemeinsam eine OHG gründen. A soll als Kapital 250.000,00 €, B ein Grundstück mit leer stehendem Bürogebäude und C mehrere Patente einbringen. Sie bitten um Auskunft darüber, welche Form sie bei der Grü</w:t>
      </w:r>
      <w:r w:rsidR="00066E76" w:rsidRPr="00B66994">
        <w:rPr>
          <w:szCs w:val="24"/>
        </w:rPr>
        <w:t>ndung der OHG zu beachten haben (Gründung einer OHG grundsätzlich formfrei</w:t>
      </w:r>
      <w:r w:rsidR="00066E76">
        <w:t>, allerdings muss Anmeldung zum Handelsregister notariell beglaubigt werden; hier allerdings notarielle Beurkundung erforderlich, da ein Grundstück in die OHG eingebracht werden soll, § 311 b BGB; Unterscheidung von notarieller Beurkundung von Willenserklärungen bzw. Verträgen sowie notarieller Beglaubigung von Unterschriften oder Abschriften).</w:t>
      </w:r>
    </w:p>
    <w:p w:rsidR="003337AA" w:rsidRDefault="003337AA" w:rsidP="00841D00">
      <w:pPr>
        <w:ind w:left="2832"/>
        <w:jc w:val="both"/>
      </w:pPr>
    </w:p>
    <w:p w:rsidR="003337AA" w:rsidRPr="00D44AEF" w:rsidRDefault="003337AA" w:rsidP="00841D00">
      <w:pPr>
        <w:ind w:left="2832"/>
        <w:jc w:val="both"/>
        <w:rPr>
          <w:b/>
          <w:bCs/>
        </w:rPr>
      </w:pPr>
      <w:r w:rsidRPr="00D44AEF">
        <w:rPr>
          <w:b/>
          <w:bCs/>
        </w:rPr>
        <w:t xml:space="preserve">Fall </w:t>
      </w:r>
      <w:r w:rsidR="002217B8">
        <w:rPr>
          <w:b/>
          <w:bCs/>
        </w:rPr>
        <w:t>6</w:t>
      </w:r>
      <w:r w:rsidRPr="00D44AEF">
        <w:rPr>
          <w:b/>
          <w:bCs/>
        </w:rPr>
        <w:t>:</w:t>
      </w:r>
    </w:p>
    <w:p w:rsidR="003337AA" w:rsidRDefault="003337AA" w:rsidP="00841D00">
      <w:pPr>
        <w:ind w:left="2832"/>
        <w:jc w:val="both"/>
      </w:pPr>
    </w:p>
    <w:p w:rsidR="003337AA" w:rsidRDefault="003337AA" w:rsidP="00841D00">
      <w:pPr>
        <w:ind w:left="2832"/>
        <w:jc w:val="both"/>
      </w:pPr>
      <w:r>
        <w:t xml:space="preserve">Der Einzelkaufmann A betreibt in Berlin Charlottenburg einen Kunsthandel. Seine Mitarbeiterin V ist seit 25 Jahren im Geschäft und leitet den Kunsthandel insbesondere in den häufigen Phasen einer längeren Abwesenheit von A. A verspricht V, „sie in absehbarer Zeit mit einem ordentlichen Anteil an seinem Geschäft zu beteiligen“. V ist hocherfreut und äußert, dass dies der schönste Lohn für ihre Arbeit in den 25 </w:t>
      </w:r>
      <w:r>
        <w:lastRenderedPageBreak/>
        <w:t>Jahren sei und arbeitet weiter, ohne Überstunden oder die häufig anfallenden Wochenendarbeiten gegenüber A geltend zu machen. Als A drei Jahre später die V immer noch nicht in irgendeiner Weise an seinem Geschäft beteiligt hat, sondern beabsichtigt, dieses ganz zu verkaufen, möchte V den Abschluss eines Gesellschaftervertrages verlangen. Hat V einen Anspruch auf Abschluss eines Gesellschaftervertrages (OHG</w:t>
      </w:r>
      <w:r>
        <w:noBreakHyphen/>
        <w:t>Vertrages)? (Vgl. BGH LM Nr. 3 zu § 705 BGB; OLG Frankfurt MDR 1973, 759)</w:t>
      </w:r>
    </w:p>
    <w:p w:rsidR="003337AA" w:rsidRDefault="003337AA" w:rsidP="00841D00">
      <w:pPr>
        <w:ind w:left="2832"/>
        <w:jc w:val="both"/>
      </w:pPr>
    </w:p>
    <w:p w:rsidR="003337AA" w:rsidRPr="00D44AEF" w:rsidRDefault="003337AA" w:rsidP="00841D00">
      <w:pPr>
        <w:ind w:left="2832"/>
        <w:jc w:val="both"/>
        <w:rPr>
          <w:b/>
          <w:bCs/>
        </w:rPr>
      </w:pPr>
      <w:r w:rsidRPr="00D44AEF">
        <w:rPr>
          <w:b/>
          <w:bCs/>
        </w:rPr>
        <w:t xml:space="preserve">Fall </w:t>
      </w:r>
      <w:r w:rsidR="002217B8">
        <w:rPr>
          <w:b/>
          <w:bCs/>
        </w:rPr>
        <w:t>7</w:t>
      </w:r>
      <w:r w:rsidRPr="00D44AEF">
        <w:rPr>
          <w:b/>
          <w:bCs/>
        </w:rPr>
        <w:t>:</w:t>
      </w:r>
    </w:p>
    <w:p w:rsidR="003337AA" w:rsidRDefault="003337AA" w:rsidP="00841D00">
      <w:pPr>
        <w:ind w:left="2832"/>
        <w:jc w:val="both"/>
      </w:pPr>
    </w:p>
    <w:p w:rsidR="003337AA" w:rsidRDefault="003337AA" w:rsidP="00841D00">
      <w:pPr>
        <w:ind w:left="2832"/>
        <w:jc w:val="both"/>
      </w:pPr>
      <w:r>
        <w:t>L ist Gesellschafter einer Consulting-OHG, die sich auf die Soft- und Hardware Beratung von mittelständischen Unternehmen spezialisiert hat. L eröffnet ein anderes Beratungsunternehmen, das sich ebenfalls darauf spezialisiert hat, Handwerksbetriebe zu überprüfen und Rationalisierungsvorschläge zu erarbeiten. Die übrigen Gesellschafter der OHG verlangen von A Unterlassung dieser Tätigkeit und gegebenenfalls Schadensersatz und berufen sich dabei auf die §§ 112, 113 HGB (BGH BB 1957, 874; OLG Hamburg, OLGE 32, 104 – vgl. ferner Unterschiede zwischen Wettbewerbsverboten nach § 60 und § 74 HGB)</w:t>
      </w:r>
    </w:p>
    <w:p w:rsidR="00B66994" w:rsidRDefault="00B66994" w:rsidP="00841D00">
      <w:pPr>
        <w:ind w:left="2832"/>
        <w:jc w:val="both"/>
      </w:pPr>
    </w:p>
    <w:p w:rsidR="003337AA" w:rsidRPr="00D44AEF" w:rsidRDefault="003337AA" w:rsidP="00841D00">
      <w:pPr>
        <w:ind w:left="2832"/>
        <w:jc w:val="both"/>
        <w:rPr>
          <w:b/>
          <w:bCs/>
        </w:rPr>
      </w:pPr>
      <w:r w:rsidRPr="00D44AEF">
        <w:rPr>
          <w:b/>
          <w:bCs/>
        </w:rPr>
        <w:t xml:space="preserve">Fall </w:t>
      </w:r>
      <w:r w:rsidR="002217B8">
        <w:rPr>
          <w:b/>
          <w:bCs/>
        </w:rPr>
        <w:t>8</w:t>
      </w:r>
      <w:r w:rsidRPr="00D44AEF">
        <w:rPr>
          <w:b/>
          <w:bCs/>
        </w:rPr>
        <w:t>:</w:t>
      </w:r>
    </w:p>
    <w:p w:rsidR="003337AA" w:rsidRDefault="003337AA" w:rsidP="00841D00">
      <w:pPr>
        <w:ind w:left="2832"/>
        <w:jc w:val="both"/>
      </w:pPr>
    </w:p>
    <w:p w:rsidR="003337AA" w:rsidRDefault="003337AA" w:rsidP="00841D00">
      <w:pPr>
        <w:ind w:left="2832"/>
        <w:jc w:val="both"/>
      </w:pPr>
      <w:r>
        <w:t>A, B und C gründen im Jahr 1995 eine IT Beratungsfirma in der Rechtsform einer OHG. Jeder zahlte einen Anteil von 10.000,00 DM und sollte sein persönliches Knowhow in die Gesellschaft einbringen. Die Geschäfte haben sich sehr gut entwickelt, sodass die OHG in den letzten Jahren regelmäßig einen jährlichen Gewinn von 3 – 4 Mio. Euro erziel</w:t>
      </w:r>
      <w:r w:rsidR="000919E6">
        <w:t>en konnte. A möchte im Jahr 2020</w:t>
      </w:r>
      <w:r>
        <w:t xml:space="preserve"> aus der OHG ausscheiden und macht eine entsprechende Abfindung geltend. </w:t>
      </w:r>
      <w:r w:rsidR="00B66994">
        <w:t xml:space="preserve">B und C wollen A nur die ursprüngliche Einlage im Wert von 10.000,00 DM zurückerstatten. </w:t>
      </w:r>
      <w:r>
        <w:t>Was ist Anspruchsgrundlage für den Abfindungsan</w:t>
      </w:r>
      <w:r w:rsidR="001A38C4">
        <w:t>spruch</w:t>
      </w:r>
      <w:r w:rsidR="00B66994">
        <w:t xml:space="preserve"> und in welcher Höhe besteht ein Anspruch</w:t>
      </w:r>
      <w:r w:rsidR="001A38C4">
        <w:t>? (Anspruchsgrundlagen §§ </w:t>
      </w:r>
      <w:r>
        <w:t>738, 730, 734 BGB i. V. m. § 105 Abs. 3 HGB).</w:t>
      </w:r>
    </w:p>
    <w:p w:rsidR="003337AA" w:rsidRDefault="003337AA" w:rsidP="00841D00">
      <w:pPr>
        <w:ind w:left="2832"/>
        <w:jc w:val="both"/>
      </w:pPr>
    </w:p>
    <w:p w:rsidR="003337AA" w:rsidRPr="00D44AEF" w:rsidRDefault="003337AA" w:rsidP="00841D00">
      <w:pPr>
        <w:ind w:left="2832"/>
        <w:rPr>
          <w:b/>
        </w:rPr>
      </w:pPr>
      <w:r w:rsidRPr="00D44AEF">
        <w:rPr>
          <w:b/>
        </w:rPr>
        <w:t xml:space="preserve">Fall </w:t>
      </w:r>
      <w:r w:rsidR="002217B8">
        <w:rPr>
          <w:b/>
        </w:rPr>
        <w:t>9</w:t>
      </w:r>
      <w:r w:rsidRPr="00D44AEF">
        <w:rPr>
          <w:b/>
        </w:rPr>
        <w:t>:</w:t>
      </w:r>
    </w:p>
    <w:p w:rsidR="003337AA" w:rsidRDefault="003337AA" w:rsidP="00841D00">
      <w:pPr>
        <w:ind w:left="2832"/>
        <w:jc w:val="both"/>
      </w:pPr>
    </w:p>
    <w:p w:rsidR="003337AA" w:rsidRDefault="003337AA" w:rsidP="00841D00">
      <w:pPr>
        <w:ind w:left="2832"/>
        <w:jc w:val="both"/>
      </w:pPr>
      <w:r>
        <w:t xml:space="preserve">Wie </w:t>
      </w:r>
      <w:r w:rsidR="002217B8">
        <w:t>zuvor</w:t>
      </w:r>
      <w:r w:rsidR="00D44AEF">
        <w:t>.</w:t>
      </w:r>
    </w:p>
    <w:p w:rsidR="003337AA" w:rsidRDefault="003337AA" w:rsidP="00841D00">
      <w:pPr>
        <w:ind w:left="2832"/>
        <w:jc w:val="both"/>
      </w:pPr>
      <w:r>
        <w:t>A, B und C haben im Jahr 1995 vereinbart, dass als Abfindung maximal der fünffache Wert der ursprünglich geleisteten Kapitaleinlage (im Falle von A also 50.000,00 DM) zu zahlen ist. A ist der Meinung, die vorgenannte Regelung ist unwirksam und beruft sich dabei u. a. auf den Rechtsgedanken von § 723 Abs. 3 BGB.</w:t>
      </w:r>
    </w:p>
    <w:p w:rsidR="003337AA" w:rsidRDefault="003337AA" w:rsidP="00841D00">
      <w:pPr>
        <w:ind w:left="2832"/>
        <w:jc w:val="both"/>
      </w:pPr>
    </w:p>
    <w:p w:rsidR="003337AA" w:rsidRDefault="003337AA" w:rsidP="00841D00">
      <w:pPr>
        <w:ind w:left="2832"/>
        <w:jc w:val="both"/>
      </w:pPr>
      <w:r>
        <w:t xml:space="preserve">Tritt nachträglich ein erhebliches Missverhältnis zwischen dem wirklichen Anteilswert und der vereinbarten Abfindung ein, so wird eine von den Parteien nicht bedachte Vertragslücke </w:t>
      </w:r>
      <w:r>
        <w:lastRenderedPageBreak/>
        <w:t>angenommen, die im Wege der ergänzenden Vertragsauslegung zu schließen sei (BGH NJW 1993, 3193 zu sog. Buchwertklauseln).</w:t>
      </w:r>
    </w:p>
    <w:p w:rsidR="003337AA" w:rsidRDefault="003337AA" w:rsidP="00841D00">
      <w:pPr>
        <w:ind w:left="2832"/>
        <w:jc w:val="both"/>
      </w:pPr>
    </w:p>
    <w:p w:rsidR="003337AA" w:rsidRDefault="003337AA" w:rsidP="00841D00">
      <w:pPr>
        <w:ind w:left="2832"/>
        <w:jc w:val="both"/>
      </w:pPr>
      <w:r>
        <w:t>Nach einer Faustregel soll die Grenze für eine noch zulässige Abfindungsvereinbarung bei 2/3 des wirklichen Anteilswertes liegen. Nach anderer Auffassung darf sie nicht unter 50 bis 60 % des a</w:t>
      </w:r>
      <w:r w:rsidR="00066E76">
        <w:t>nteiligen Ertragswertes liegen. (Schutz des Abfindungsanspruchs entsprechend dem Ertragswert erfolgt auch über Art. 14 Abs. 1 GG)</w:t>
      </w:r>
    </w:p>
    <w:p w:rsidR="00B66994" w:rsidRDefault="00B66994" w:rsidP="00841D00">
      <w:pPr>
        <w:ind w:left="2832"/>
        <w:jc w:val="both"/>
      </w:pPr>
    </w:p>
    <w:p w:rsidR="003337AA" w:rsidRPr="00D44AEF" w:rsidRDefault="003337AA" w:rsidP="00841D00">
      <w:pPr>
        <w:ind w:left="2832"/>
        <w:jc w:val="both"/>
        <w:rPr>
          <w:b/>
          <w:bCs/>
        </w:rPr>
      </w:pPr>
      <w:r w:rsidRPr="00D44AEF">
        <w:rPr>
          <w:b/>
          <w:bCs/>
        </w:rPr>
        <w:t xml:space="preserve">Fall </w:t>
      </w:r>
      <w:r w:rsidR="00D44AEF" w:rsidRPr="00D44AEF">
        <w:rPr>
          <w:b/>
          <w:bCs/>
        </w:rPr>
        <w:t>1</w:t>
      </w:r>
      <w:r w:rsidR="002217B8">
        <w:rPr>
          <w:b/>
          <w:bCs/>
        </w:rPr>
        <w:t>0</w:t>
      </w:r>
      <w:r w:rsidRPr="00D44AEF">
        <w:rPr>
          <w:b/>
          <w:bCs/>
        </w:rPr>
        <w:t>:</w:t>
      </w:r>
    </w:p>
    <w:p w:rsidR="003337AA" w:rsidRPr="00E3259B" w:rsidRDefault="003337AA" w:rsidP="00841D00">
      <w:pPr>
        <w:ind w:left="2832"/>
        <w:jc w:val="both"/>
        <w:rPr>
          <w:szCs w:val="24"/>
        </w:rPr>
      </w:pPr>
    </w:p>
    <w:p w:rsidR="003337AA" w:rsidRDefault="003337AA" w:rsidP="00841D00">
      <w:pPr>
        <w:ind w:left="2832"/>
        <w:jc w:val="both"/>
      </w:pPr>
      <w:r>
        <w:t>A, B und C gründen eine Kommanditgesellschaft. Der Gesellschaftsvertrag sieht vor, dass die Gesellschaft mit den Erben fortgesetzt werden soll. Nach 50 Jahren gehören der Gesellschaft insgesamt 45 Kommanditisten an. Im Gesellschaftsvertrag ist vorgesehen, dass nicht alle Kommanditisten die im Gesetz und im Gesellschaftsvertrag vorgesehenen Befugnisse ausüben dürfen. Vielmehr werden die Kommanditisten nach den Erbstämmen von A, B und C aufgeteilt. Sie müssen sich auf jeweils einen Kommanditisten verständigen, der dann sämtliche gesetzlichen und vertraglichen Befugnisse ausüben soll. Ist eine solche vertragliche Regelung zulässig? (Übertragung der dem Kommanditisten zustehenden Befugnisse auf einzelne Kommanditisten oder einen Kommanditisten</w:t>
      </w:r>
      <w:r w:rsidR="00FB00A3">
        <w:t>-A</w:t>
      </w:r>
      <w:r>
        <w:t>usschuss ist zulässig; insbesondere beim Publikums-KG oder Familien-KG</w:t>
      </w:r>
      <w:r w:rsidR="004A050D">
        <w:t>, vgl. z. B. Dr. Oetker, Haniel, Henkel</w:t>
      </w:r>
      <w:r>
        <w:t>).</w:t>
      </w:r>
    </w:p>
    <w:p w:rsidR="00B66994" w:rsidRDefault="00B66994" w:rsidP="00841D00">
      <w:pPr>
        <w:ind w:left="2832"/>
        <w:jc w:val="both"/>
      </w:pPr>
    </w:p>
    <w:p w:rsidR="00FB00A3" w:rsidRPr="00FB00A3" w:rsidRDefault="00FB00A3" w:rsidP="00841D00">
      <w:pPr>
        <w:ind w:left="2832"/>
        <w:jc w:val="both"/>
        <w:rPr>
          <w:b/>
        </w:rPr>
      </w:pPr>
      <w:r w:rsidRPr="00FB00A3">
        <w:rPr>
          <w:b/>
        </w:rPr>
        <w:t>Zum Eigenstudium :</w:t>
      </w:r>
    </w:p>
    <w:p w:rsidR="00FB00A3" w:rsidRPr="00FB00A3" w:rsidRDefault="00FB00A3" w:rsidP="00841D00">
      <w:pPr>
        <w:ind w:left="2832"/>
        <w:jc w:val="both"/>
        <w:rPr>
          <w:b/>
        </w:rPr>
      </w:pPr>
    </w:p>
    <w:p w:rsidR="00B66994" w:rsidRPr="00D44AEF" w:rsidRDefault="00B66994" w:rsidP="00B66994">
      <w:pPr>
        <w:ind w:left="2832"/>
        <w:jc w:val="both"/>
        <w:rPr>
          <w:b/>
          <w:bCs/>
        </w:rPr>
      </w:pPr>
      <w:r w:rsidRPr="00D44AEF">
        <w:rPr>
          <w:b/>
          <w:bCs/>
        </w:rPr>
        <w:t xml:space="preserve">Fall </w:t>
      </w:r>
      <w:r>
        <w:rPr>
          <w:b/>
          <w:bCs/>
        </w:rPr>
        <w:t>1</w:t>
      </w:r>
      <w:r w:rsidR="002217B8">
        <w:rPr>
          <w:b/>
          <w:bCs/>
        </w:rPr>
        <w:t>1</w:t>
      </w:r>
      <w:r w:rsidRPr="00D44AEF">
        <w:rPr>
          <w:b/>
          <w:bCs/>
        </w:rPr>
        <w:t>:</w:t>
      </w:r>
    </w:p>
    <w:p w:rsidR="00B66994" w:rsidRPr="00B66994" w:rsidRDefault="00B66994" w:rsidP="00B66994">
      <w:pPr>
        <w:ind w:left="2832"/>
        <w:jc w:val="both"/>
        <w:rPr>
          <w:szCs w:val="24"/>
        </w:rPr>
      </w:pPr>
    </w:p>
    <w:p w:rsidR="00B66994" w:rsidRPr="002217B8" w:rsidRDefault="00B66994" w:rsidP="00B66994">
      <w:pPr>
        <w:ind w:left="2832"/>
        <w:jc w:val="both"/>
        <w:rPr>
          <w:szCs w:val="24"/>
        </w:rPr>
      </w:pPr>
      <w:r w:rsidRPr="00B66994">
        <w:rPr>
          <w:szCs w:val="24"/>
        </w:rPr>
        <w:t xml:space="preserve">X ist als Betriebswirt bei der S Wasserbau GmbH in Königs Wusterhausen beschäftigt. Die Firma hat sich auf Wasser-, insbesondere Kanalbauarbeiten spezialisiert. Sie bekommt ein Angebot von einer in der irischen Stadt Cork ansässigen Hafengesellschaft. Die S Wasserbau GmbH soll einen Teil der Abstützungsanlagen am Hafenbecken in Cork erneuern. Bitte stellen Sie dar, welche Fragen die GmbH in juristischer Hinsicht </w:t>
      </w:r>
      <w:r w:rsidRPr="002217B8">
        <w:rPr>
          <w:szCs w:val="24"/>
        </w:rPr>
        <w:t xml:space="preserve">zunächst in jedem Fall klären sollte. </w:t>
      </w:r>
    </w:p>
    <w:p w:rsidR="00B66994" w:rsidRPr="002217B8" w:rsidRDefault="00B66994" w:rsidP="00B66994">
      <w:pPr>
        <w:ind w:left="2832"/>
        <w:jc w:val="both"/>
        <w:rPr>
          <w:szCs w:val="24"/>
        </w:rPr>
      </w:pPr>
    </w:p>
    <w:p w:rsidR="00B66994" w:rsidRPr="002217B8" w:rsidRDefault="00B66994" w:rsidP="00B66994">
      <w:pPr>
        <w:ind w:left="2832"/>
        <w:jc w:val="both"/>
        <w:rPr>
          <w:szCs w:val="24"/>
        </w:rPr>
      </w:pPr>
      <w:r w:rsidRPr="002217B8">
        <w:rPr>
          <w:szCs w:val="24"/>
        </w:rPr>
        <w:t>1. Vertragspartner/</w:t>
      </w:r>
      <w:proofErr w:type="spellStart"/>
      <w:r w:rsidRPr="002217B8">
        <w:rPr>
          <w:i/>
          <w:szCs w:val="24"/>
        </w:rPr>
        <w:t>Contractual</w:t>
      </w:r>
      <w:proofErr w:type="spellEnd"/>
      <w:r w:rsidRPr="002217B8">
        <w:rPr>
          <w:i/>
          <w:szCs w:val="24"/>
        </w:rPr>
        <w:t xml:space="preserve"> </w:t>
      </w:r>
      <w:proofErr w:type="spellStart"/>
      <w:r w:rsidRPr="002217B8">
        <w:rPr>
          <w:i/>
          <w:szCs w:val="24"/>
        </w:rPr>
        <w:t>partners</w:t>
      </w:r>
      <w:proofErr w:type="spellEnd"/>
    </w:p>
    <w:p w:rsidR="00B66994" w:rsidRPr="002217B8" w:rsidRDefault="00B66994" w:rsidP="00B66994">
      <w:pPr>
        <w:ind w:left="2832"/>
        <w:jc w:val="both"/>
        <w:rPr>
          <w:szCs w:val="24"/>
        </w:rPr>
      </w:pPr>
    </w:p>
    <w:p w:rsidR="00B66994" w:rsidRPr="002217B8" w:rsidRDefault="00B66994" w:rsidP="00B66994">
      <w:pPr>
        <w:ind w:left="2832"/>
        <w:jc w:val="both"/>
        <w:rPr>
          <w:szCs w:val="24"/>
        </w:rPr>
      </w:pPr>
      <w:r w:rsidRPr="002217B8">
        <w:rPr>
          <w:szCs w:val="24"/>
        </w:rPr>
        <w:t xml:space="preserve">Alle natürlichen Personen – mit Ausnahme von Minderjährigen – sind uneingeschränkt geschäftsfähig (geschäftsunfähige Personen ausgenommen). Gesellschaften und Kooperationen sind eigenständige juristische Personen, die aus einer oder mehreren natürlichen oder auch juristischen Personen bestehen und Träger von Rechten und Pflichten sein können. </w:t>
      </w:r>
    </w:p>
    <w:p w:rsidR="00B66994" w:rsidRPr="002217B8" w:rsidRDefault="00B66994" w:rsidP="00B66994">
      <w:pPr>
        <w:ind w:left="2832"/>
        <w:jc w:val="both"/>
        <w:rPr>
          <w:szCs w:val="24"/>
        </w:rPr>
      </w:pPr>
    </w:p>
    <w:p w:rsidR="00B66994" w:rsidRPr="00B66994" w:rsidRDefault="00B66994" w:rsidP="00B66994">
      <w:pPr>
        <w:ind w:left="2832"/>
        <w:jc w:val="both"/>
        <w:rPr>
          <w:i/>
          <w:color w:val="000000"/>
          <w:szCs w:val="24"/>
          <w:lang w:val="en-US"/>
        </w:rPr>
      </w:pPr>
      <w:r w:rsidRPr="002217B8">
        <w:rPr>
          <w:i/>
          <w:color w:val="000000"/>
          <w:szCs w:val="24"/>
          <w:lang w:val="en-US"/>
        </w:rPr>
        <w:t>All natural</w:t>
      </w:r>
      <w:r w:rsidRPr="00B66994">
        <w:rPr>
          <w:i/>
          <w:color w:val="000000"/>
          <w:szCs w:val="24"/>
          <w:lang w:val="en-US"/>
        </w:rPr>
        <w:t xml:space="preserve"> persons – except minors – have the full capacity to make binding contacts (mentally disordered or </w:t>
      </w:r>
      <w:r w:rsidRPr="00B66994">
        <w:rPr>
          <w:i/>
          <w:szCs w:val="24"/>
          <w:lang w:val="en-US"/>
        </w:rPr>
        <w:t xml:space="preserve">drunken </w:t>
      </w:r>
      <w:r w:rsidRPr="00B66994">
        <w:rPr>
          <w:i/>
          <w:color w:val="000000"/>
          <w:szCs w:val="24"/>
          <w:lang w:val="en-US"/>
        </w:rPr>
        <w:t xml:space="preserve">persons either not). Corporations is an artificial person (legal entity) composed of one or several natural </w:t>
      </w:r>
      <w:proofErr w:type="gramStart"/>
      <w:r w:rsidRPr="00B66994">
        <w:rPr>
          <w:i/>
          <w:color w:val="000000"/>
          <w:szCs w:val="24"/>
          <w:lang w:val="en-US"/>
        </w:rPr>
        <w:t>persons</w:t>
      </w:r>
      <w:proofErr w:type="gramEnd"/>
      <w:r w:rsidRPr="00B66994">
        <w:rPr>
          <w:i/>
          <w:color w:val="000000"/>
          <w:szCs w:val="24"/>
          <w:lang w:val="en-US"/>
        </w:rPr>
        <w:t xml:space="preserve"> bearer of legal rights and duties.</w:t>
      </w:r>
    </w:p>
    <w:p w:rsidR="00B66994" w:rsidRPr="00B66994" w:rsidRDefault="00B66994" w:rsidP="00B66994">
      <w:pPr>
        <w:ind w:left="2832"/>
        <w:jc w:val="both"/>
        <w:rPr>
          <w:sz w:val="16"/>
          <w:szCs w:val="16"/>
          <w:lang w:val="en-US"/>
        </w:rPr>
      </w:pPr>
    </w:p>
    <w:p w:rsidR="00B66994" w:rsidRPr="00B66994" w:rsidRDefault="00B66994" w:rsidP="00B66994">
      <w:pPr>
        <w:ind w:left="2832"/>
        <w:jc w:val="both"/>
        <w:rPr>
          <w:szCs w:val="24"/>
        </w:rPr>
      </w:pPr>
      <w:r w:rsidRPr="00B66994">
        <w:rPr>
          <w:szCs w:val="24"/>
        </w:rPr>
        <w:t>Gesellschaften oder Kooperationen können im eigenen Namen klagen und verklagt werden (§ 124 HGB).</w:t>
      </w:r>
    </w:p>
    <w:p w:rsidR="00B66994" w:rsidRPr="00B66994" w:rsidRDefault="00B66994" w:rsidP="00B66994">
      <w:pPr>
        <w:ind w:left="2829"/>
        <w:jc w:val="both"/>
        <w:rPr>
          <w:sz w:val="16"/>
          <w:szCs w:val="16"/>
        </w:rPr>
      </w:pPr>
    </w:p>
    <w:p w:rsidR="00B66994" w:rsidRPr="00B66994" w:rsidRDefault="00B66994" w:rsidP="00B66994">
      <w:pPr>
        <w:pStyle w:val="Textkrper"/>
        <w:spacing w:after="0"/>
        <w:ind w:left="2829"/>
        <w:jc w:val="both"/>
        <w:rPr>
          <w:i/>
          <w:szCs w:val="24"/>
          <w:lang w:val="en-GB"/>
        </w:rPr>
      </w:pPr>
      <w:r w:rsidRPr="00B66994">
        <w:rPr>
          <w:i/>
          <w:szCs w:val="24"/>
          <w:lang w:val="en-GB"/>
        </w:rPr>
        <w:t>Corporations can be sued in its own name and can sue in its own name. (</w:t>
      </w:r>
      <w:proofErr w:type="spellStart"/>
      <w:proofErr w:type="gramStart"/>
      <w:r w:rsidRPr="00B66994">
        <w:rPr>
          <w:i/>
          <w:szCs w:val="24"/>
          <w:lang w:val="en-GB"/>
        </w:rPr>
        <w:t>vgl</w:t>
      </w:r>
      <w:proofErr w:type="spellEnd"/>
      <w:proofErr w:type="gramEnd"/>
      <w:r w:rsidRPr="00B66994">
        <w:rPr>
          <w:i/>
          <w:szCs w:val="24"/>
          <w:lang w:val="en-GB"/>
        </w:rPr>
        <w:t>. § 124 HGB: The general commercial partnership can acquire rights and enter into obligations, acquire ownership and other rights in real property and sue and be sued in its own name.)</w:t>
      </w:r>
    </w:p>
    <w:p w:rsidR="00B66994" w:rsidRPr="00B66994" w:rsidRDefault="00B66994" w:rsidP="00B66994">
      <w:pPr>
        <w:ind w:left="2829"/>
        <w:jc w:val="both"/>
        <w:rPr>
          <w:szCs w:val="24"/>
        </w:rPr>
      </w:pPr>
      <w:r w:rsidRPr="00B66994">
        <w:rPr>
          <w:szCs w:val="24"/>
        </w:rPr>
        <w:t xml:space="preserve">Wenn eine Gesellschaft einmal gegründet wurde, ist sie unabhängig von ihren Gründungsmitgliedern. </w:t>
      </w:r>
    </w:p>
    <w:p w:rsidR="00B66994" w:rsidRPr="00B66994" w:rsidRDefault="00B66994" w:rsidP="00B66994">
      <w:pPr>
        <w:ind w:left="2829"/>
        <w:jc w:val="both"/>
        <w:rPr>
          <w:szCs w:val="24"/>
        </w:rPr>
      </w:pPr>
    </w:p>
    <w:p w:rsidR="00B66994" w:rsidRPr="00B66994" w:rsidRDefault="00B66994" w:rsidP="00B66994">
      <w:pPr>
        <w:ind w:left="2829"/>
        <w:jc w:val="both"/>
        <w:rPr>
          <w:i/>
          <w:szCs w:val="24"/>
          <w:lang w:val="en-US"/>
        </w:rPr>
      </w:pPr>
      <w:r w:rsidRPr="00B66994">
        <w:rPr>
          <w:i/>
          <w:szCs w:val="24"/>
          <w:lang w:val="en-US"/>
        </w:rPr>
        <w:t>Once incorporated the company forms a legal personality, separate and distinct from the personalities of its members.</w:t>
      </w:r>
    </w:p>
    <w:p w:rsidR="00B66994" w:rsidRPr="00B66994" w:rsidRDefault="00B66994" w:rsidP="00B66994">
      <w:pPr>
        <w:ind w:left="2829"/>
        <w:jc w:val="both"/>
        <w:rPr>
          <w:szCs w:val="24"/>
          <w:lang w:val="en-US"/>
        </w:rPr>
      </w:pPr>
    </w:p>
    <w:p w:rsidR="00B66994" w:rsidRPr="00B66994" w:rsidRDefault="00B66994" w:rsidP="00B66994">
      <w:pPr>
        <w:ind w:left="2829"/>
        <w:jc w:val="both"/>
        <w:rPr>
          <w:szCs w:val="24"/>
        </w:rPr>
      </w:pPr>
      <w:r w:rsidRPr="00B66994">
        <w:rPr>
          <w:szCs w:val="24"/>
        </w:rPr>
        <w:t>Vertragsformulierungen/</w:t>
      </w:r>
      <w:r w:rsidRPr="00B66994">
        <w:rPr>
          <w:i/>
          <w:szCs w:val="24"/>
        </w:rPr>
        <w:t xml:space="preserve">Contract </w:t>
      </w:r>
      <w:proofErr w:type="spellStart"/>
      <w:r w:rsidRPr="00B66994">
        <w:rPr>
          <w:i/>
          <w:szCs w:val="24"/>
        </w:rPr>
        <w:t>formulations</w:t>
      </w:r>
      <w:proofErr w:type="spellEnd"/>
      <w:r w:rsidRPr="00B66994">
        <w:rPr>
          <w:i/>
          <w:szCs w:val="24"/>
        </w:rPr>
        <w:t>:</w:t>
      </w:r>
    </w:p>
    <w:p w:rsidR="00B66994" w:rsidRPr="00B66994" w:rsidRDefault="00B66994" w:rsidP="00B66994">
      <w:pPr>
        <w:ind w:left="2832"/>
        <w:jc w:val="both"/>
        <w:rPr>
          <w:iCs/>
          <w:szCs w:val="24"/>
        </w:rPr>
      </w:pPr>
    </w:p>
    <w:p w:rsidR="00B66994" w:rsidRPr="00B66994" w:rsidRDefault="00B66994" w:rsidP="00B66994">
      <w:pPr>
        <w:ind w:left="2832"/>
        <w:jc w:val="both"/>
        <w:rPr>
          <w:iCs/>
          <w:szCs w:val="24"/>
        </w:rPr>
      </w:pPr>
      <w:r w:rsidRPr="00B66994">
        <w:rPr>
          <w:iCs/>
          <w:szCs w:val="24"/>
        </w:rPr>
        <w:t xml:space="preserve">Die Cork Transport Docklands </w:t>
      </w:r>
      <w:proofErr w:type="spellStart"/>
      <w:r w:rsidRPr="00B66994">
        <w:rPr>
          <w:iCs/>
          <w:szCs w:val="24"/>
        </w:rPr>
        <w:t>and</w:t>
      </w:r>
      <w:proofErr w:type="spellEnd"/>
      <w:r w:rsidRPr="00B66994">
        <w:rPr>
          <w:iCs/>
          <w:szCs w:val="24"/>
        </w:rPr>
        <w:t xml:space="preserve"> Harbour Supply Company Ltd., eine Gesellschaft mit beschränkter Haftung auf Aktien, entsprechend dem Recht der Republik von Irland, eingetragen im Öffentlichen Handelsregister Company House ... Nr. ..., mit Sitz in Cork und Dublin, Adresse ..., im weiteren „Cork Ltd.“ genannt ...</w:t>
      </w:r>
    </w:p>
    <w:p w:rsidR="00B66994" w:rsidRPr="00B66994" w:rsidRDefault="00B66994" w:rsidP="00B66994">
      <w:pPr>
        <w:ind w:left="2832"/>
        <w:jc w:val="both"/>
        <w:rPr>
          <w:szCs w:val="24"/>
        </w:rPr>
      </w:pPr>
    </w:p>
    <w:p w:rsidR="00B66994" w:rsidRPr="00B66994" w:rsidRDefault="00B66994" w:rsidP="00B66994">
      <w:pPr>
        <w:ind w:left="2832"/>
        <w:jc w:val="both"/>
        <w:rPr>
          <w:i/>
          <w:iCs/>
          <w:szCs w:val="24"/>
        </w:rPr>
      </w:pPr>
      <w:r w:rsidRPr="00B66994">
        <w:rPr>
          <w:i/>
          <w:iCs/>
          <w:szCs w:val="24"/>
          <w:lang w:val="en-US"/>
        </w:rPr>
        <w:t xml:space="preserve">The Cork Transport Docklands and </w:t>
      </w:r>
      <w:proofErr w:type="spellStart"/>
      <w:r w:rsidRPr="00B66994">
        <w:rPr>
          <w:i/>
          <w:iCs/>
          <w:szCs w:val="24"/>
          <w:lang w:val="en-US"/>
        </w:rPr>
        <w:t>Harbour</w:t>
      </w:r>
      <w:proofErr w:type="spellEnd"/>
      <w:r w:rsidRPr="00B66994">
        <w:rPr>
          <w:i/>
          <w:iCs/>
          <w:szCs w:val="24"/>
          <w:lang w:val="en-US"/>
        </w:rPr>
        <w:t xml:space="preserve"> Supply Company Ltd., a private company limited by shares, </w:t>
      </w:r>
      <w:proofErr w:type="spellStart"/>
      <w:r w:rsidRPr="00B66994">
        <w:rPr>
          <w:i/>
          <w:iCs/>
          <w:szCs w:val="24"/>
          <w:lang w:val="en-US"/>
        </w:rPr>
        <w:t>organised</w:t>
      </w:r>
      <w:proofErr w:type="spellEnd"/>
      <w:r w:rsidRPr="00B66994">
        <w:rPr>
          <w:i/>
          <w:iCs/>
          <w:szCs w:val="24"/>
          <w:lang w:val="en-US"/>
        </w:rPr>
        <w:t xml:space="preserve"> and existing under the laws of the Republic of Ireland, registered in the public commercial register Company House …</w:t>
      </w:r>
      <w:proofErr w:type="spellStart"/>
      <w:r w:rsidRPr="00B66994">
        <w:rPr>
          <w:i/>
          <w:iCs/>
          <w:szCs w:val="24"/>
          <w:lang w:val="en-US"/>
        </w:rPr>
        <w:t>Nr</w:t>
      </w:r>
      <w:proofErr w:type="spellEnd"/>
      <w:r w:rsidRPr="00B66994">
        <w:rPr>
          <w:i/>
          <w:iCs/>
          <w:szCs w:val="24"/>
          <w:lang w:val="en-US"/>
        </w:rPr>
        <w:t xml:space="preserve">. … having offices in Cork and Dublin, </w:t>
      </w:r>
      <w:proofErr w:type="spellStart"/>
      <w:r w:rsidRPr="00B66994">
        <w:rPr>
          <w:i/>
          <w:iCs/>
          <w:szCs w:val="24"/>
          <w:lang w:val="en-US"/>
        </w:rPr>
        <w:t>adress</w:t>
      </w:r>
      <w:proofErr w:type="spellEnd"/>
      <w:r w:rsidRPr="00B66994">
        <w:rPr>
          <w:i/>
          <w:iCs/>
          <w:szCs w:val="24"/>
          <w:lang w:val="en-US"/>
        </w:rPr>
        <w:t xml:space="preserve"> …, hereinafter called “Cork Ltd.” </w:t>
      </w:r>
      <w:r w:rsidRPr="00B66994">
        <w:rPr>
          <w:i/>
          <w:iCs/>
          <w:szCs w:val="24"/>
        </w:rPr>
        <w:t>…</w:t>
      </w:r>
    </w:p>
    <w:p w:rsidR="00B66994" w:rsidRPr="00B66994" w:rsidRDefault="00B66994" w:rsidP="00B66994">
      <w:pPr>
        <w:ind w:left="2832"/>
        <w:jc w:val="both"/>
        <w:rPr>
          <w:szCs w:val="24"/>
        </w:rPr>
      </w:pPr>
    </w:p>
    <w:p w:rsidR="00B66994" w:rsidRPr="00B66994" w:rsidRDefault="00B66994" w:rsidP="00B66994">
      <w:pPr>
        <w:ind w:left="2832"/>
        <w:jc w:val="both"/>
        <w:rPr>
          <w:szCs w:val="24"/>
        </w:rPr>
      </w:pPr>
      <w:r w:rsidRPr="00B66994">
        <w:rPr>
          <w:szCs w:val="24"/>
        </w:rPr>
        <w:t>2. Grundsatz der Vertragsfreiheit/</w:t>
      </w:r>
      <w:r w:rsidRPr="00B66994">
        <w:rPr>
          <w:i/>
          <w:szCs w:val="24"/>
        </w:rPr>
        <w:t xml:space="preserve">Contents </w:t>
      </w:r>
      <w:proofErr w:type="spellStart"/>
      <w:r w:rsidRPr="00B66994">
        <w:rPr>
          <w:i/>
          <w:szCs w:val="24"/>
        </w:rPr>
        <w:t>of</w:t>
      </w:r>
      <w:proofErr w:type="spellEnd"/>
      <w:r w:rsidRPr="00B66994">
        <w:rPr>
          <w:i/>
          <w:szCs w:val="24"/>
        </w:rPr>
        <w:t xml:space="preserve"> </w:t>
      </w:r>
      <w:proofErr w:type="spellStart"/>
      <w:r w:rsidRPr="00B66994">
        <w:rPr>
          <w:i/>
          <w:szCs w:val="24"/>
        </w:rPr>
        <w:t>contracts</w:t>
      </w:r>
      <w:proofErr w:type="spellEnd"/>
      <w:r w:rsidRPr="00B66994">
        <w:rPr>
          <w:i/>
          <w:szCs w:val="24"/>
        </w:rPr>
        <w:t xml:space="preserve"> (</w:t>
      </w:r>
      <w:proofErr w:type="spellStart"/>
      <w:r w:rsidRPr="00B66994">
        <w:rPr>
          <w:i/>
          <w:szCs w:val="24"/>
        </w:rPr>
        <w:t>terms</w:t>
      </w:r>
      <w:proofErr w:type="spellEnd"/>
      <w:r w:rsidRPr="00B66994">
        <w:rPr>
          <w:i/>
          <w:szCs w:val="24"/>
        </w:rPr>
        <w:t xml:space="preserve">, </w:t>
      </w:r>
      <w:proofErr w:type="spellStart"/>
      <w:r w:rsidRPr="00B66994">
        <w:rPr>
          <w:i/>
          <w:szCs w:val="24"/>
        </w:rPr>
        <w:t>conditions</w:t>
      </w:r>
      <w:proofErr w:type="spellEnd"/>
      <w:r w:rsidRPr="00B66994">
        <w:rPr>
          <w:i/>
          <w:szCs w:val="24"/>
        </w:rPr>
        <w:t xml:space="preserve">, </w:t>
      </w:r>
      <w:proofErr w:type="spellStart"/>
      <w:r w:rsidRPr="00B66994">
        <w:rPr>
          <w:i/>
          <w:szCs w:val="24"/>
        </w:rPr>
        <w:t>warranties</w:t>
      </w:r>
      <w:proofErr w:type="spellEnd"/>
      <w:r w:rsidRPr="00B66994">
        <w:rPr>
          <w:i/>
          <w:szCs w:val="24"/>
        </w:rPr>
        <w:t>)</w:t>
      </w:r>
    </w:p>
    <w:p w:rsidR="00B66994" w:rsidRPr="00B66994" w:rsidRDefault="00B66994" w:rsidP="00B66994">
      <w:pPr>
        <w:ind w:left="2832"/>
        <w:jc w:val="both"/>
        <w:rPr>
          <w:szCs w:val="24"/>
        </w:rPr>
      </w:pPr>
    </w:p>
    <w:p w:rsidR="00B66994" w:rsidRPr="00B66994" w:rsidRDefault="00B66994" w:rsidP="00B66994">
      <w:pPr>
        <w:ind w:left="2832"/>
        <w:jc w:val="both"/>
        <w:rPr>
          <w:szCs w:val="24"/>
        </w:rPr>
      </w:pPr>
      <w:r w:rsidRPr="00B66994">
        <w:rPr>
          <w:szCs w:val="24"/>
        </w:rPr>
        <w:t xml:space="preserve">Die Vertragsparteien sind grundsätzlich frei in der Bestimmung von Inhalt und Umfang des Vertrages. Es ist nicht Aufgabe des Gerichts, den Vertrag für die Parteien zu gestalten. In einzelnen Ausnahmefällen kann das Recht aber Vertragsbedingungen ergänzen, z. B. dass jede Ware zum Verkauf geeignet sein soll, auch wenn dies nicht vertraglich vereinbart wurde. </w:t>
      </w:r>
    </w:p>
    <w:p w:rsidR="00B66994" w:rsidRPr="00B66994" w:rsidRDefault="00B66994" w:rsidP="00B66994">
      <w:pPr>
        <w:ind w:left="2832"/>
        <w:jc w:val="both"/>
        <w:rPr>
          <w:szCs w:val="24"/>
        </w:rPr>
      </w:pPr>
    </w:p>
    <w:p w:rsidR="00B66994" w:rsidRPr="00B66994" w:rsidRDefault="00B66994" w:rsidP="00B66994">
      <w:pPr>
        <w:pStyle w:val="Textkrper-Einzug3"/>
        <w:spacing w:after="0"/>
        <w:ind w:left="2829"/>
        <w:jc w:val="both"/>
        <w:rPr>
          <w:i/>
          <w:sz w:val="24"/>
          <w:szCs w:val="24"/>
          <w:lang w:val="en-GB"/>
        </w:rPr>
      </w:pPr>
      <w:r w:rsidRPr="00B66994">
        <w:rPr>
          <w:i/>
          <w:sz w:val="24"/>
          <w:szCs w:val="24"/>
          <w:lang w:val="en-GB"/>
        </w:rPr>
        <w:t xml:space="preserve">Principle of freedom of contracts. The parties are free to determine their own terms. It is not the function of the court to make the parties contracts for them. In some </w:t>
      </w:r>
      <w:proofErr w:type="spellStart"/>
      <w:r w:rsidRPr="00B66994">
        <w:rPr>
          <w:i/>
          <w:sz w:val="24"/>
          <w:szCs w:val="24"/>
          <w:lang w:val="en-GB"/>
        </w:rPr>
        <w:t>exceptionell</w:t>
      </w:r>
      <w:proofErr w:type="spellEnd"/>
      <w:r w:rsidRPr="00B66994">
        <w:rPr>
          <w:i/>
          <w:sz w:val="24"/>
          <w:szCs w:val="24"/>
          <w:lang w:val="en-GB"/>
        </w:rPr>
        <w:t xml:space="preserve"> cases however the law may imply terms into the contract, e. g. that goods shall be of </w:t>
      </w:r>
      <w:proofErr w:type="spellStart"/>
      <w:r w:rsidRPr="00B66994">
        <w:rPr>
          <w:i/>
          <w:sz w:val="24"/>
          <w:szCs w:val="24"/>
          <w:lang w:val="en-GB"/>
        </w:rPr>
        <w:t>merchatable</w:t>
      </w:r>
      <w:proofErr w:type="spellEnd"/>
      <w:r w:rsidRPr="00B66994">
        <w:rPr>
          <w:i/>
          <w:sz w:val="24"/>
          <w:szCs w:val="24"/>
          <w:lang w:val="en-GB"/>
        </w:rPr>
        <w:t xml:space="preserve"> quality.</w:t>
      </w:r>
    </w:p>
    <w:p w:rsidR="00B66994" w:rsidRPr="00B66994" w:rsidRDefault="00B66994" w:rsidP="00B66994">
      <w:pPr>
        <w:ind w:left="2832"/>
        <w:jc w:val="both"/>
        <w:rPr>
          <w:szCs w:val="24"/>
          <w:lang w:val="en-GB"/>
        </w:rPr>
      </w:pPr>
    </w:p>
    <w:p w:rsidR="00B66994" w:rsidRPr="00B66994" w:rsidRDefault="00B66994" w:rsidP="00B66994">
      <w:pPr>
        <w:ind w:left="2832"/>
        <w:jc w:val="both"/>
        <w:rPr>
          <w:szCs w:val="24"/>
        </w:rPr>
      </w:pPr>
      <w:r w:rsidRPr="00B66994">
        <w:rPr>
          <w:szCs w:val="24"/>
        </w:rPr>
        <w:t xml:space="preserve">Die Vertragsbedingungen definieren die Rechte und Pflichten der Vertragsparteien. </w:t>
      </w:r>
    </w:p>
    <w:p w:rsidR="00B66994" w:rsidRPr="00B66994" w:rsidRDefault="00B66994" w:rsidP="00B66994">
      <w:pPr>
        <w:ind w:left="2832"/>
        <w:jc w:val="both"/>
        <w:rPr>
          <w:szCs w:val="24"/>
        </w:rPr>
      </w:pPr>
    </w:p>
    <w:p w:rsidR="00B66994" w:rsidRPr="00B66994" w:rsidRDefault="00B66994" w:rsidP="00B66994">
      <w:pPr>
        <w:pStyle w:val="Textkrper-Einzug3"/>
        <w:spacing w:after="0"/>
        <w:ind w:left="2829"/>
        <w:jc w:val="both"/>
        <w:rPr>
          <w:i/>
          <w:sz w:val="24"/>
          <w:szCs w:val="24"/>
          <w:lang w:val="en-GB"/>
        </w:rPr>
      </w:pPr>
      <w:r w:rsidRPr="00B66994">
        <w:rPr>
          <w:i/>
          <w:sz w:val="24"/>
          <w:szCs w:val="24"/>
          <w:lang w:val="en-GB"/>
        </w:rPr>
        <w:t>The terms of contract define the right and duties of the contractual parties.</w:t>
      </w:r>
    </w:p>
    <w:p w:rsidR="00B66994" w:rsidRPr="00B66994" w:rsidRDefault="00B66994" w:rsidP="00B66994">
      <w:pPr>
        <w:ind w:left="2832"/>
        <w:jc w:val="both"/>
        <w:rPr>
          <w:szCs w:val="24"/>
        </w:rPr>
      </w:pPr>
      <w:r w:rsidRPr="00B66994">
        <w:rPr>
          <w:szCs w:val="24"/>
        </w:rPr>
        <w:t>Vertragsformulierungen/</w:t>
      </w:r>
      <w:r w:rsidRPr="00B66994">
        <w:rPr>
          <w:i/>
          <w:szCs w:val="24"/>
        </w:rPr>
        <w:t xml:space="preserve">Contract </w:t>
      </w:r>
      <w:proofErr w:type="spellStart"/>
      <w:r w:rsidRPr="00B66994">
        <w:rPr>
          <w:i/>
          <w:szCs w:val="24"/>
        </w:rPr>
        <w:t>formulations</w:t>
      </w:r>
      <w:proofErr w:type="spellEnd"/>
      <w:r w:rsidRPr="00B66994">
        <w:rPr>
          <w:i/>
          <w:szCs w:val="24"/>
        </w:rPr>
        <w:t>:</w:t>
      </w:r>
    </w:p>
    <w:p w:rsidR="00B66994" w:rsidRPr="00B66994" w:rsidRDefault="00B66994" w:rsidP="00B66994">
      <w:pPr>
        <w:ind w:left="2832"/>
        <w:jc w:val="both"/>
        <w:rPr>
          <w:szCs w:val="24"/>
        </w:rPr>
      </w:pPr>
    </w:p>
    <w:p w:rsidR="00B66994" w:rsidRPr="00B66994" w:rsidRDefault="00B66994" w:rsidP="00B66994">
      <w:pPr>
        <w:pStyle w:val="Textkrper-Einzug3"/>
        <w:spacing w:after="0"/>
        <w:ind w:left="2829"/>
        <w:jc w:val="both"/>
        <w:rPr>
          <w:iCs/>
          <w:sz w:val="24"/>
          <w:szCs w:val="24"/>
        </w:rPr>
      </w:pPr>
      <w:r w:rsidRPr="00B66994">
        <w:rPr>
          <w:iCs/>
          <w:sz w:val="24"/>
          <w:szCs w:val="24"/>
        </w:rPr>
        <w:t>Ausschließlichkeit des Vertrages</w:t>
      </w:r>
    </w:p>
    <w:p w:rsidR="00B66994" w:rsidRDefault="00B66994" w:rsidP="00B66994">
      <w:pPr>
        <w:pStyle w:val="Textkrper-Einzug3"/>
        <w:spacing w:after="0"/>
        <w:ind w:left="2829"/>
        <w:jc w:val="both"/>
        <w:rPr>
          <w:iCs/>
          <w:sz w:val="24"/>
          <w:szCs w:val="24"/>
        </w:rPr>
      </w:pPr>
      <w:r w:rsidRPr="00B66994">
        <w:rPr>
          <w:iCs/>
          <w:sz w:val="24"/>
          <w:szCs w:val="24"/>
        </w:rPr>
        <w:t xml:space="preserve">Dieser Vertrag stellt die gesamte Übereinkunft der Parteien dar. Es gibt keine mündlichen oder schriftlichen Nebenabreden, Vorbehalte oder Bedingungen, die nicht in diesen Vertrag integriert wurden oder die nicht durch diesen Vertrag ungültig geworden sind. </w:t>
      </w:r>
    </w:p>
    <w:p w:rsidR="002217B8" w:rsidRPr="00B66994" w:rsidRDefault="002217B8" w:rsidP="00B66994">
      <w:pPr>
        <w:pStyle w:val="Textkrper-Einzug3"/>
        <w:spacing w:after="0"/>
        <w:ind w:left="2829"/>
        <w:jc w:val="both"/>
        <w:rPr>
          <w:iCs/>
          <w:sz w:val="24"/>
          <w:szCs w:val="24"/>
        </w:rPr>
      </w:pPr>
    </w:p>
    <w:p w:rsidR="00B66994" w:rsidRPr="00B66994" w:rsidRDefault="00B66994" w:rsidP="00B66994">
      <w:pPr>
        <w:pStyle w:val="Textkrper-Einzug3"/>
        <w:spacing w:after="0"/>
        <w:ind w:left="2829"/>
        <w:jc w:val="both"/>
        <w:rPr>
          <w:i/>
          <w:iCs/>
          <w:sz w:val="24"/>
          <w:szCs w:val="24"/>
          <w:lang w:val="en-GB"/>
        </w:rPr>
      </w:pPr>
      <w:r w:rsidRPr="00B66994">
        <w:rPr>
          <w:i/>
          <w:iCs/>
          <w:sz w:val="24"/>
          <w:szCs w:val="24"/>
          <w:lang w:val="en-GB"/>
        </w:rPr>
        <w:t>Entire Agreement</w:t>
      </w:r>
    </w:p>
    <w:p w:rsidR="00B66994" w:rsidRPr="00B66994" w:rsidRDefault="00B66994" w:rsidP="00B66994">
      <w:pPr>
        <w:pStyle w:val="Textkrper-Einzug3"/>
        <w:spacing w:after="0"/>
        <w:ind w:left="2829"/>
        <w:jc w:val="both"/>
        <w:rPr>
          <w:i/>
          <w:iCs/>
          <w:sz w:val="24"/>
          <w:szCs w:val="24"/>
          <w:lang w:val="en-GB"/>
        </w:rPr>
      </w:pPr>
      <w:r w:rsidRPr="00B66994">
        <w:rPr>
          <w:i/>
          <w:iCs/>
          <w:sz w:val="24"/>
          <w:szCs w:val="24"/>
          <w:lang w:val="en-GB"/>
        </w:rPr>
        <w:t xml:space="preserve">This contract constitutes the entire agreement and understanding between the parties. There are no agreements, understandings, conditions, reservations or representations, oral or written, that are not embodied in this contract or that have not been superseded by this contract. </w:t>
      </w:r>
    </w:p>
    <w:p w:rsidR="00B66994" w:rsidRPr="00B66994" w:rsidRDefault="00B66994" w:rsidP="00B66994">
      <w:pPr>
        <w:pStyle w:val="Textkrper-Einzug3"/>
        <w:spacing w:after="0"/>
        <w:ind w:left="2829"/>
        <w:jc w:val="both"/>
        <w:rPr>
          <w:iCs/>
          <w:sz w:val="24"/>
          <w:szCs w:val="24"/>
          <w:lang w:val="en-GB"/>
        </w:rPr>
      </w:pPr>
    </w:p>
    <w:p w:rsidR="00B66994" w:rsidRPr="00B66994" w:rsidRDefault="00B66994" w:rsidP="00B66994">
      <w:pPr>
        <w:pStyle w:val="Textkrper-Einzug3"/>
        <w:spacing w:after="0"/>
        <w:ind w:left="2832"/>
        <w:jc w:val="both"/>
        <w:rPr>
          <w:iCs/>
          <w:sz w:val="24"/>
          <w:szCs w:val="24"/>
        </w:rPr>
      </w:pPr>
      <w:r w:rsidRPr="00B66994">
        <w:rPr>
          <w:iCs/>
          <w:sz w:val="24"/>
          <w:szCs w:val="24"/>
        </w:rPr>
        <w:t>Vertragsdokumente</w:t>
      </w:r>
    </w:p>
    <w:p w:rsidR="00B66994" w:rsidRPr="00B66994" w:rsidRDefault="00B66994" w:rsidP="00B66994">
      <w:pPr>
        <w:pStyle w:val="Textkrper-Einzug3"/>
        <w:spacing w:after="0"/>
        <w:ind w:left="2832"/>
        <w:jc w:val="both"/>
        <w:rPr>
          <w:iCs/>
          <w:sz w:val="24"/>
          <w:szCs w:val="24"/>
        </w:rPr>
      </w:pPr>
      <w:r w:rsidRPr="00B66994">
        <w:rPr>
          <w:iCs/>
          <w:sz w:val="24"/>
          <w:szCs w:val="24"/>
        </w:rPr>
        <w:t xml:space="preserve">“Vertrag” </w:t>
      </w:r>
      <w:proofErr w:type="gramStart"/>
      <w:r w:rsidRPr="00B66994">
        <w:rPr>
          <w:iCs/>
          <w:sz w:val="24"/>
          <w:szCs w:val="24"/>
        </w:rPr>
        <w:t>bedeutet</w:t>
      </w:r>
      <w:proofErr w:type="gramEnd"/>
      <w:r w:rsidRPr="00B66994">
        <w:rPr>
          <w:iCs/>
          <w:sz w:val="24"/>
          <w:szCs w:val="24"/>
        </w:rPr>
        <w:t xml:space="preserve"> dieser Kaufvertrag selbst sowie alle anwendbaren allgemeinen Kaufbedingungen, spezielle Kaufbedingungen, Spezifikationen, Leistungsbeschreibung und Planzeichnungen. </w:t>
      </w:r>
    </w:p>
    <w:p w:rsidR="00B66994" w:rsidRPr="00B66994" w:rsidRDefault="00B66994" w:rsidP="00B66994">
      <w:pPr>
        <w:pStyle w:val="Textkrper-Einzug3"/>
        <w:spacing w:after="0"/>
        <w:ind w:left="2832"/>
        <w:jc w:val="both"/>
        <w:rPr>
          <w:iCs/>
          <w:sz w:val="24"/>
          <w:szCs w:val="24"/>
        </w:rPr>
      </w:pPr>
    </w:p>
    <w:p w:rsidR="00B66994" w:rsidRPr="00B66994" w:rsidRDefault="00B66994" w:rsidP="00B66994">
      <w:pPr>
        <w:pStyle w:val="Textkrper-Einzug3"/>
        <w:spacing w:after="0"/>
        <w:ind w:left="2832"/>
        <w:jc w:val="both"/>
        <w:rPr>
          <w:iCs/>
          <w:sz w:val="24"/>
          <w:szCs w:val="24"/>
        </w:rPr>
      </w:pPr>
      <w:r w:rsidRPr="00B66994">
        <w:rPr>
          <w:iCs/>
          <w:sz w:val="24"/>
          <w:szCs w:val="24"/>
        </w:rPr>
        <w:t>Alle Vertragsdokumente sowie die Klauseln des Vertrages werden, sofern möglich, so verstanden, dass sie im Einvernehmen zueinander stehen. Im Fall von Widersprüchlichkeiten werden die Vertragsklauseln und die Vertragsdokumente in folgender Reihenfolge Vorrang gegenüber den übrigen haben:</w:t>
      </w:r>
    </w:p>
    <w:p w:rsidR="00B66994" w:rsidRPr="00B66994" w:rsidRDefault="00B66994" w:rsidP="00B66994">
      <w:pPr>
        <w:pStyle w:val="Textkrper-Einzug3"/>
        <w:spacing w:after="0"/>
        <w:ind w:left="2832"/>
        <w:jc w:val="both"/>
        <w:rPr>
          <w:iCs/>
          <w:sz w:val="24"/>
          <w:szCs w:val="24"/>
        </w:rPr>
      </w:pPr>
    </w:p>
    <w:p w:rsidR="00B66994" w:rsidRPr="00B66994" w:rsidRDefault="00B66994" w:rsidP="00B66994">
      <w:pPr>
        <w:pStyle w:val="Textkrper-Einzug3"/>
        <w:numPr>
          <w:ilvl w:val="0"/>
          <w:numId w:val="17"/>
        </w:numPr>
        <w:spacing w:after="0"/>
        <w:ind w:left="3192"/>
        <w:jc w:val="both"/>
        <w:rPr>
          <w:iCs/>
          <w:sz w:val="24"/>
          <w:szCs w:val="24"/>
        </w:rPr>
      </w:pPr>
      <w:r w:rsidRPr="00B66994">
        <w:rPr>
          <w:iCs/>
          <w:sz w:val="24"/>
          <w:szCs w:val="24"/>
        </w:rPr>
        <w:t>Alle Veränderungen, die maschinenschriftlich auf dem Kaufvertrag vermerkt sind</w:t>
      </w:r>
    </w:p>
    <w:p w:rsidR="00B66994" w:rsidRPr="00B66994" w:rsidRDefault="00B66994" w:rsidP="00B66994">
      <w:pPr>
        <w:pStyle w:val="Textkrper-Einzug3"/>
        <w:numPr>
          <w:ilvl w:val="0"/>
          <w:numId w:val="17"/>
        </w:numPr>
        <w:spacing w:after="0"/>
        <w:ind w:left="3192"/>
        <w:jc w:val="both"/>
        <w:rPr>
          <w:iCs/>
          <w:sz w:val="24"/>
          <w:szCs w:val="24"/>
        </w:rPr>
      </w:pPr>
      <w:r w:rsidRPr="00B66994">
        <w:rPr>
          <w:iCs/>
          <w:sz w:val="24"/>
          <w:szCs w:val="24"/>
        </w:rPr>
        <w:t>Der gedruckte Text des Kaufvertrages selbst</w:t>
      </w:r>
    </w:p>
    <w:p w:rsidR="00B66994" w:rsidRPr="00B66994" w:rsidRDefault="00B66994" w:rsidP="00B66994">
      <w:pPr>
        <w:pStyle w:val="Textkrper-Einzug3"/>
        <w:numPr>
          <w:ilvl w:val="0"/>
          <w:numId w:val="17"/>
        </w:numPr>
        <w:spacing w:after="0"/>
        <w:ind w:left="3192"/>
        <w:jc w:val="both"/>
        <w:rPr>
          <w:iCs/>
          <w:sz w:val="24"/>
          <w:szCs w:val="24"/>
        </w:rPr>
      </w:pPr>
      <w:r w:rsidRPr="00B66994">
        <w:rPr>
          <w:iCs/>
          <w:sz w:val="24"/>
          <w:szCs w:val="24"/>
        </w:rPr>
        <w:t>Spezifikationen</w:t>
      </w:r>
    </w:p>
    <w:p w:rsidR="00B66994" w:rsidRPr="00B66994" w:rsidRDefault="00B66994" w:rsidP="00B66994">
      <w:pPr>
        <w:pStyle w:val="Textkrper-Einzug3"/>
        <w:numPr>
          <w:ilvl w:val="0"/>
          <w:numId w:val="17"/>
        </w:numPr>
        <w:spacing w:after="0"/>
        <w:ind w:left="3192"/>
        <w:jc w:val="both"/>
        <w:rPr>
          <w:iCs/>
          <w:sz w:val="24"/>
          <w:szCs w:val="24"/>
        </w:rPr>
      </w:pPr>
      <w:r w:rsidRPr="00B66994">
        <w:rPr>
          <w:iCs/>
          <w:sz w:val="24"/>
          <w:szCs w:val="24"/>
        </w:rPr>
        <w:t>Leistungsbeschreibung</w:t>
      </w:r>
    </w:p>
    <w:p w:rsidR="00B66994" w:rsidRPr="00B66994" w:rsidRDefault="00B66994" w:rsidP="00B66994">
      <w:pPr>
        <w:pStyle w:val="Textkrper-Einzug3"/>
        <w:numPr>
          <w:ilvl w:val="0"/>
          <w:numId w:val="17"/>
        </w:numPr>
        <w:spacing w:after="0"/>
        <w:ind w:left="3192"/>
        <w:jc w:val="both"/>
        <w:rPr>
          <w:iCs/>
          <w:sz w:val="24"/>
          <w:szCs w:val="24"/>
        </w:rPr>
      </w:pPr>
      <w:r w:rsidRPr="00B66994">
        <w:rPr>
          <w:iCs/>
          <w:sz w:val="24"/>
          <w:szCs w:val="24"/>
        </w:rPr>
        <w:t>Planzeichnungen</w:t>
      </w:r>
    </w:p>
    <w:p w:rsidR="00B66994" w:rsidRPr="00B66994" w:rsidRDefault="00B66994" w:rsidP="00B66994">
      <w:pPr>
        <w:pStyle w:val="Textkrper-Einzug3"/>
        <w:numPr>
          <w:ilvl w:val="0"/>
          <w:numId w:val="17"/>
        </w:numPr>
        <w:spacing w:after="0"/>
        <w:ind w:left="3192"/>
        <w:jc w:val="both"/>
        <w:rPr>
          <w:iCs/>
          <w:sz w:val="24"/>
          <w:szCs w:val="24"/>
        </w:rPr>
      </w:pPr>
      <w:r w:rsidRPr="00B66994">
        <w:rPr>
          <w:iCs/>
          <w:sz w:val="24"/>
          <w:szCs w:val="24"/>
        </w:rPr>
        <w:t>Die speziellen Kaufbedingungen des Käufers</w:t>
      </w:r>
    </w:p>
    <w:p w:rsidR="00B66994" w:rsidRPr="00B66994" w:rsidRDefault="00B66994" w:rsidP="00B66994">
      <w:pPr>
        <w:pStyle w:val="Textkrper-Einzug3"/>
        <w:numPr>
          <w:ilvl w:val="0"/>
          <w:numId w:val="17"/>
        </w:numPr>
        <w:spacing w:after="0"/>
        <w:ind w:left="3192"/>
        <w:jc w:val="both"/>
        <w:rPr>
          <w:iCs/>
          <w:sz w:val="24"/>
          <w:szCs w:val="24"/>
        </w:rPr>
      </w:pPr>
      <w:r w:rsidRPr="00B66994">
        <w:rPr>
          <w:iCs/>
          <w:sz w:val="24"/>
          <w:szCs w:val="24"/>
        </w:rPr>
        <w:t>Die allgemeinen Kaufbedingungen des Käufers</w:t>
      </w:r>
    </w:p>
    <w:p w:rsidR="00B66994" w:rsidRPr="00B66994" w:rsidRDefault="00B66994" w:rsidP="00B66994">
      <w:pPr>
        <w:pStyle w:val="Textkrper-Einzug3"/>
        <w:spacing w:after="0"/>
        <w:ind w:left="2829"/>
        <w:jc w:val="both"/>
        <w:rPr>
          <w:iCs/>
          <w:sz w:val="24"/>
          <w:szCs w:val="24"/>
          <w:lang w:val="en-GB"/>
        </w:rPr>
      </w:pPr>
    </w:p>
    <w:p w:rsidR="00B66994" w:rsidRPr="00B66994" w:rsidRDefault="00B66994" w:rsidP="00B66994">
      <w:pPr>
        <w:pStyle w:val="Textkrper-Einzug3"/>
        <w:spacing w:after="0"/>
        <w:ind w:left="2832"/>
        <w:jc w:val="both"/>
        <w:rPr>
          <w:i/>
          <w:iCs/>
          <w:sz w:val="24"/>
          <w:szCs w:val="24"/>
          <w:lang w:val="en-GB"/>
        </w:rPr>
      </w:pPr>
      <w:r w:rsidRPr="00B66994">
        <w:rPr>
          <w:i/>
          <w:iCs/>
          <w:sz w:val="24"/>
          <w:szCs w:val="24"/>
          <w:lang w:val="en-GB"/>
        </w:rPr>
        <w:t>Contract Documents</w:t>
      </w:r>
    </w:p>
    <w:p w:rsidR="00B66994" w:rsidRPr="00B66994" w:rsidRDefault="00B66994" w:rsidP="00B66994">
      <w:pPr>
        <w:pStyle w:val="Textkrper-Einzug3"/>
        <w:spacing w:after="0"/>
        <w:ind w:left="2832"/>
        <w:jc w:val="both"/>
        <w:rPr>
          <w:i/>
          <w:iCs/>
          <w:sz w:val="24"/>
          <w:szCs w:val="24"/>
          <w:lang w:val="en-GB"/>
        </w:rPr>
      </w:pPr>
      <w:r w:rsidRPr="00B66994">
        <w:rPr>
          <w:i/>
          <w:iCs/>
          <w:sz w:val="24"/>
          <w:szCs w:val="24"/>
          <w:lang w:val="en-GB"/>
        </w:rPr>
        <w:t>„Contract</w:t>
      </w:r>
      <w:proofErr w:type="gramStart"/>
      <w:r w:rsidRPr="00B66994">
        <w:rPr>
          <w:i/>
          <w:iCs/>
          <w:sz w:val="24"/>
          <w:szCs w:val="24"/>
          <w:lang w:val="en-GB"/>
        </w:rPr>
        <w:t>“ means</w:t>
      </w:r>
      <w:proofErr w:type="gramEnd"/>
      <w:r w:rsidRPr="00B66994">
        <w:rPr>
          <w:i/>
          <w:iCs/>
          <w:sz w:val="24"/>
          <w:szCs w:val="24"/>
          <w:lang w:val="en-GB"/>
        </w:rPr>
        <w:t xml:space="preserve"> this purchase Agreement itself, and all applicable general conditions of purchase, special conditions of purchase, specifications, the statement of work and manufacturing drawings. </w:t>
      </w:r>
    </w:p>
    <w:p w:rsidR="00B66994" w:rsidRPr="00B66994" w:rsidRDefault="00B66994" w:rsidP="00B66994">
      <w:pPr>
        <w:pStyle w:val="Textkrper-Einzug3"/>
        <w:spacing w:after="0"/>
        <w:ind w:left="2832"/>
        <w:jc w:val="both"/>
        <w:rPr>
          <w:i/>
          <w:iCs/>
          <w:sz w:val="24"/>
          <w:szCs w:val="24"/>
          <w:lang w:val="en-GB"/>
        </w:rPr>
      </w:pPr>
    </w:p>
    <w:p w:rsidR="00B66994" w:rsidRPr="00B66994" w:rsidRDefault="00B66994" w:rsidP="00B66994">
      <w:pPr>
        <w:pStyle w:val="Textkrper-Einzug3"/>
        <w:spacing w:after="0"/>
        <w:ind w:left="2832"/>
        <w:jc w:val="both"/>
        <w:rPr>
          <w:i/>
          <w:iCs/>
          <w:sz w:val="24"/>
          <w:szCs w:val="24"/>
          <w:lang w:val="en-GB"/>
        </w:rPr>
      </w:pPr>
      <w:r w:rsidRPr="00B66994">
        <w:rPr>
          <w:i/>
          <w:iCs/>
          <w:sz w:val="24"/>
          <w:szCs w:val="24"/>
          <w:lang w:val="en-GB"/>
        </w:rPr>
        <w:lastRenderedPageBreak/>
        <w:t>All contract documents and the clauses of this contract shall be read, if possible, so as to be consistent. In the event of conflict, the order of precedence for the provisions and documents which constitute this agreement is as follows:</w:t>
      </w:r>
    </w:p>
    <w:p w:rsidR="00B66994" w:rsidRPr="00B66994" w:rsidRDefault="00B66994" w:rsidP="00B66994">
      <w:pPr>
        <w:pStyle w:val="Textkrper-Einzug3"/>
        <w:spacing w:after="0"/>
        <w:ind w:left="2832"/>
        <w:jc w:val="both"/>
        <w:rPr>
          <w:i/>
          <w:iCs/>
          <w:sz w:val="24"/>
          <w:szCs w:val="24"/>
          <w:lang w:val="en-GB"/>
        </w:rPr>
      </w:pPr>
    </w:p>
    <w:p w:rsidR="00B66994" w:rsidRPr="00B66994" w:rsidRDefault="00B66994" w:rsidP="00B66994">
      <w:pPr>
        <w:pStyle w:val="Textkrper-Einzug3"/>
        <w:numPr>
          <w:ilvl w:val="0"/>
          <w:numId w:val="16"/>
        </w:numPr>
        <w:spacing w:after="0"/>
        <w:ind w:left="3192"/>
        <w:jc w:val="both"/>
        <w:rPr>
          <w:i/>
          <w:iCs/>
          <w:sz w:val="24"/>
          <w:szCs w:val="24"/>
          <w:lang w:val="en-GB"/>
        </w:rPr>
      </w:pPr>
      <w:r w:rsidRPr="00B66994">
        <w:rPr>
          <w:i/>
          <w:iCs/>
          <w:sz w:val="24"/>
          <w:szCs w:val="24"/>
          <w:lang w:val="en-GB"/>
        </w:rPr>
        <w:t>Any alterations typed on the face of the printed purchase agreement</w:t>
      </w:r>
    </w:p>
    <w:p w:rsidR="00B66994" w:rsidRPr="00B66994" w:rsidRDefault="00B66994" w:rsidP="00B66994">
      <w:pPr>
        <w:pStyle w:val="Textkrper-Einzug3"/>
        <w:numPr>
          <w:ilvl w:val="0"/>
          <w:numId w:val="16"/>
        </w:numPr>
        <w:spacing w:after="0"/>
        <w:ind w:left="3192"/>
        <w:jc w:val="both"/>
        <w:rPr>
          <w:i/>
          <w:iCs/>
          <w:sz w:val="24"/>
          <w:szCs w:val="24"/>
          <w:lang w:val="en-GB"/>
        </w:rPr>
      </w:pPr>
      <w:r w:rsidRPr="00B66994">
        <w:rPr>
          <w:i/>
          <w:iCs/>
          <w:sz w:val="24"/>
          <w:szCs w:val="24"/>
          <w:lang w:val="en-GB"/>
        </w:rPr>
        <w:t>The printed text of the purchase agreement itself</w:t>
      </w:r>
    </w:p>
    <w:p w:rsidR="00B66994" w:rsidRPr="00B66994" w:rsidRDefault="00B66994" w:rsidP="00B66994">
      <w:pPr>
        <w:pStyle w:val="Textkrper-Einzug3"/>
        <w:numPr>
          <w:ilvl w:val="0"/>
          <w:numId w:val="16"/>
        </w:numPr>
        <w:spacing w:after="0"/>
        <w:ind w:left="3192"/>
        <w:jc w:val="both"/>
        <w:rPr>
          <w:i/>
          <w:iCs/>
          <w:sz w:val="24"/>
          <w:szCs w:val="24"/>
          <w:lang w:val="en-GB"/>
        </w:rPr>
      </w:pPr>
      <w:r w:rsidRPr="00B66994">
        <w:rPr>
          <w:i/>
          <w:iCs/>
          <w:sz w:val="24"/>
          <w:szCs w:val="24"/>
          <w:lang w:val="en-GB"/>
        </w:rPr>
        <w:t>Specifications</w:t>
      </w:r>
    </w:p>
    <w:p w:rsidR="00B66994" w:rsidRPr="00B66994" w:rsidRDefault="00B66994" w:rsidP="00B66994">
      <w:pPr>
        <w:pStyle w:val="Textkrper-Einzug3"/>
        <w:numPr>
          <w:ilvl w:val="0"/>
          <w:numId w:val="16"/>
        </w:numPr>
        <w:spacing w:after="0"/>
        <w:ind w:left="3192"/>
        <w:jc w:val="both"/>
        <w:rPr>
          <w:i/>
          <w:iCs/>
          <w:sz w:val="24"/>
          <w:szCs w:val="24"/>
          <w:lang w:val="en-GB"/>
        </w:rPr>
      </w:pPr>
      <w:r w:rsidRPr="00B66994">
        <w:rPr>
          <w:i/>
          <w:iCs/>
          <w:sz w:val="24"/>
          <w:szCs w:val="24"/>
          <w:lang w:val="en-GB"/>
        </w:rPr>
        <w:t>Statement of work</w:t>
      </w:r>
    </w:p>
    <w:p w:rsidR="00B66994" w:rsidRPr="00B66994" w:rsidRDefault="00B66994" w:rsidP="00B66994">
      <w:pPr>
        <w:pStyle w:val="Textkrper-Einzug3"/>
        <w:numPr>
          <w:ilvl w:val="0"/>
          <w:numId w:val="16"/>
        </w:numPr>
        <w:spacing w:after="0"/>
        <w:ind w:left="3192"/>
        <w:jc w:val="both"/>
        <w:rPr>
          <w:i/>
          <w:iCs/>
          <w:sz w:val="24"/>
          <w:szCs w:val="24"/>
          <w:lang w:val="en-GB"/>
        </w:rPr>
      </w:pPr>
      <w:r w:rsidRPr="00B66994">
        <w:rPr>
          <w:i/>
          <w:iCs/>
          <w:sz w:val="24"/>
          <w:szCs w:val="24"/>
          <w:lang w:val="en-GB"/>
        </w:rPr>
        <w:t>Manufacturing drawings</w:t>
      </w:r>
    </w:p>
    <w:p w:rsidR="00B66994" w:rsidRPr="00B66994" w:rsidRDefault="00B66994" w:rsidP="00B66994">
      <w:pPr>
        <w:pStyle w:val="Textkrper-Einzug3"/>
        <w:numPr>
          <w:ilvl w:val="0"/>
          <w:numId w:val="16"/>
        </w:numPr>
        <w:spacing w:after="0"/>
        <w:ind w:left="3192"/>
        <w:jc w:val="both"/>
        <w:rPr>
          <w:i/>
          <w:iCs/>
          <w:sz w:val="24"/>
          <w:szCs w:val="24"/>
          <w:lang w:val="en-GB"/>
        </w:rPr>
      </w:pPr>
      <w:r w:rsidRPr="00B66994">
        <w:rPr>
          <w:i/>
          <w:iCs/>
          <w:sz w:val="24"/>
          <w:szCs w:val="24"/>
          <w:lang w:val="en-GB"/>
        </w:rPr>
        <w:t>The buyer`s special conditions of purchase</w:t>
      </w:r>
    </w:p>
    <w:p w:rsidR="00B66994" w:rsidRPr="00B66994" w:rsidRDefault="00B66994" w:rsidP="00B66994">
      <w:pPr>
        <w:pStyle w:val="Textkrper-Einzug3"/>
        <w:numPr>
          <w:ilvl w:val="0"/>
          <w:numId w:val="16"/>
        </w:numPr>
        <w:spacing w:after="0"/>
        <w:ind w:left="3192"/>
        <w:jc w:val="both"/>
        <w:rPr>
          <w:i/>
          <w:iCs/>
          <w:sz w:val="24"/>
          <w:szCs w:val="24"/>
          <w:lang w:val="en-GB"/>
        </w:rPr>
      </w:pPr>
      <w:r w:rsidRPr="00B66994">
        <w:rPr>
          <w:i/>
          <w:iCs/>
          <w:sz w:val="24"/>
          <w:szCs w:val="24"/>
          <w:lang w:val="en-GB"/>
        </w:rPr>
        <w:t>The buyer`s general conditions of purchase</w:t>
      </w:r>
    </w:p>
    <w:p w:rsidR="00D44AEF" w:rsidRPr="00D44AEF" w:rsidRDefault="00D44AEF" w:rsidP="00841D00">
      <w:pPr>
        <w:ind w:left="2832"/>
        <w:jc w:val="both"/>
        <w:rPr>
          <w:b/>
          <w:u w:val="single"/>
        </w:rPr>
      </w:pPr>
    </w:p>
    <w:p w:rsidR="00D44AEF" w:rsidRDefault="00D44AEF" w:rsidP="00841D00">
      <w:pPr>
        <w:ind w:left="2832"/>
        <w:jc w:val="both"/>
      </w:pPr>
    </w:p>
    <w:p w:rsidR="003337AA" w:rsidRPr="00D44AEF" w:rsidRDefault="003337AA" w:rsidP="00841D00">
      <w:pPr>
        <w:ind w:left="2832"/>
        <w:jc w:val="both"/>
        <w:rPr>
          <w:b/>
          <w:bCs/>
        </w:rPr>
      </w:pPr>
      <w:r w:rsidRPr="00D44AEF">
        <w:rPr>
          <w:b/>
          <w:bCs/>
        </w:rPr>
        <w:t xml:space="preserve">Fall </w:t>
      </w:r>
      <w:r w:rsidR="00B66994">
        <w:rPr>
          <w:b/>
          <w:bCs/>
        </w:rPr>
        <w:t>1</w:t>
      </w:r>
      <w:r w:rsidR="002217B8">
        <w:rPr>
          <w:b/>
          <w:bCs/>
        </w:rPr>
        <w:t>2</w:t>
      </w:r>
      <w:r w:rsidRPr="00D44AEF">
        <w:rPr>
          <w:b/>
          <w:bCs/>
        </w:rPr>
        <w:t>:</w:t>
      </w:r>
    </w:p>
    <w:p w:rsidR="003337AA" w:rsidRDefault="003337AA" w:rsidP="00841D00">
      <w:pPr>
        <w:ind w:left="2832"/>
        <w:jc w:val="both"/>
      </w:pPr>
    </w:p>
    <w:p w:rsidR="003337AA" w:rsidRDefault="003337AA" w:rsidP="00841D00">
      <w:pPr>
        <w:ind w:left="2832"/>
        <w:jc w:val="both"/>
      </w:pPr>
      <w:r>
        <w:t xml:space="preserve">Die Geschäftsleute X und Y haben ein Patent erworben, mit dem sie Speicherchips für die Telefonindustrie herstellen können. Es soll ein Unternehmen der Rechtsform einer KG gegründet werden, an dem die beiden Geschäftsleute allerdings nur als Kommanditisten beteiligt sein wollen. Sie wollen weder die volle Haftung übernehmen noch die Geschäfte führen. Der bisher bei X beschäftigte, erfahrene kaufmännische Angestellte A kann dafür gewonnen werden, sich mit einem geringen Kapitalanteil als persönlich haftender Gesellschafter zur Verfügung zu stellen. Er soll für seine Tätigkeit ein angemessenes Gehalt bekommen. Seine Rechte als Gesellschafter sollen weitgehend beschnitten werden. Beide Kommanditisten sollen dem A in weitem Umfang Weisungen erteilen können. Der Gesellschafsvertrag sieht vor, dass ein aus den beiden Kommanditisten gebildeter Aufsichtsrat nicht nur die Geschäftsführung des persönlich haftenden Gesellschafters kontrolliert, sondern alle wichtigen Geschäftsführungsmaßnahmen selbst entscheidet und den persönlich haftenden Gesellschafter mit deren Ausführung beauftragt. Sind die vorgenannten Regelungen wirksam? </w:t>
      </w:r>
    </w:p>
    <w:p w:rsidR="003337AA" w:rsidRDefault="003337AA" w:rsidP="00841D00">
      <w:pPr>
        <w:ind w:left="2832"/>
        <w:jc w:val="both"/>
      </w:pPr>
    </w:p>
    <w:p w:rsidR="003337AA" w:rsidRDefault="003337AA" w:rsidP="00841D00">
      <w:pPr>
        <w:ind w:left="2832"/>
        <w:jc w:val="both"/>
      </w:pPr>
      <w:r>
        <w:t>Bei kapitalorganisierten Gesellschaften wollen in der Regel die Geldgeber mehr Einfluss auf die Geschäftsführung gewinnen. Unternehmensleitung und persönliche Haftung müssen aber in einem unmittelbaren Zusammenhang stehen. Eine Beschränkung des Umfangs der Vertretungsmacht der persönlich haftenden Gesellschafter ist Dritten gegenüber ebenso wie bei der OHG unwirksam. Sofern dem einzigen persönlich haftenden Gesellschafter die Vertretungsmacht entzogen wird, ist ein rechtlich unmöglicher Zustand erreicht und die Gesellschaft muss zwangsläufig in das Abwicklungsstadium eintreten (BGHZ 51, 198)</w:t>
      </w:r>
    </w:p>
    <w:p w:rsidR="003337AA" w:rsidRDefault="003337AA" w:rsidP="00841D00">
      <w:pPr>
        <w:ind w:left="2832"/>
        <w:jc w:val="both"/>
      </w:pPr>
    </w:p>
    <w:p w:rsidR="003337AA" w:rsidRPr="00D44AEF" w:rsidRDefault="003337AA" w:rsidP="00841D00">
      <w:pPr>
        <w:ind w:left="2832"/>
        <w:jc w:val="both"/>
        <w:rPr>
          <w:b/>
          <w:bCs/>
        </w:rPr>
      </w:pPr>
      <w:r w:rsidRPr="00D44AEF">
        <w:rPr>
          <w:b/>
          <w:bCs/>
        </w:rPr>
        <w:t xml:space="preserve">Fall </w:t>
      </w:r>
      <w:r w:rsidR="00B66994">
        <w:rPr>
          <w:b/>
          <w:bCs/>
        </w:rPr>
        <w:t>1</w:t>
      </w:r>
      <w:r w:rsidR="002217B8">
        <w:rPr>
          <w:b/>
          <w:bCs/>
        </w:rPr>
        <w:t>3</w:t>
      </w:r>
      <w:r w:rsidRPr="00D44AEF">
        <w:rPr>
          <w:b/>
          <w:bCs/>
        </w:rPr>
        <w:t>:</w:t>
      </w:r>
    </w:p>
    <w:p w:rsidR="003337AA" w:rsidRDefault="003337AA" w:rsidP="00841D00">
      <w:pPr>
        <w:ind w:left="2832"/>
        <w:jc w:val="both"/>
      </w:pPr>
    </w:p>
    <w:p w:rsidR="003337AA" w:rsidRPr="005B2A3B" w:rsidRDefault="00F026E3" w:rsidP="00841D00">
      <w:pPr>
        <w:ind w:left="2832"/>
        <w:jc w:val="both"/>
        <w:rPr>
          <w:szCs w:val="24"/>
        </w:rPr>
      </w:pPr>
      <w:r>
        <w:t xml:space="preserve">Wie wäre der </w:t>
      </w:r>
      <w:r w:rsidR="002217B8">
        <w:t>vorangegangene Fall</w:t>
      </w:r>
      <w:r w:rsidR="003337AA">
        <w:t xml:space="preserve"> zu beurteilen, wenn neben A einer der Kommanditisten Geschäftsführungsvollmacht übertragen und </w:t>
      </w:r>
      <w:r w:rsidR="003337AA" w:rsidRPr="005B2A3B">
        <w:rPr>
          <w:szCs w:val="24"/>
        </w:rPr>
        <w:t xml:space="preserve">Prokura erteilt wird. </w:t>
      </w:r>
    </w:p>
    <w:p w:rsidR="003337AA" w:rsidRPr="005B2A3B" w:rsidRDefault="003337AA" w:rsidP="00841D00">
      <w:pPr>
        <w:ind w:left="2832"/>
        <w:jc w:val="both"/>
        <w:rPr>
          <w:szCs w:val="24"/>
        </w:rPr>
      </w:pPr>
    </w:p>
    <w:p w:rsidR="003337AA" w:rsidRDefault="003337AA" w:rsidP="00841D00">
      <w:pPr>
        <w:ind w:left="2832"/>
        <w:jc w:val="both"/>
      </w:pPr>
      <w:r w:rsidRPr="005B2A3B">
        <w:rPr>
          <w:szCs w:val="24"/>
        </w:rPr>
        <w:t>Die Stellung der zur Geschäftsführung laut Gesellschaftsvertrag berufenen</w:t>
      </w:r>
      <w:r>
        <w:t xml:space="preserve"> Kommanditisten kann dadurch noch verstärkt werden, dass ihnen Prokura erteil wird. Dennoch bleibt eine Vertretung allein durch die persönlich haftenden Gesellschafter auch durch die Bestellung eines oder mehrerer Kommanditisten zu Prokuristen unberührt (BGHZ 17, 293; 41, 367).</w:t>
      </w:r>
    </w:p>
    <w:p w:rsidR="00B66994" w:rsidRDefault="00B66994" w:rsidP="00841D00">
      <w:pPr>
        <w:ind w:left="2832"/>
        <w:jc w:val="both"/>
      </w:pPr>
    </w:p>
    <w:p w:rsidR="003337AA" w:rsidRPr="00D44AEF" w:rsidRDefault="003337AA" w:rsidP="00841D00">
      <w:pPr>
        <w:ind w:left="2832"/>
        <w:jc w:val="both"/>
        <w:rPr>
          <w:b/>
          <w:bCs/>
        </w:rPr>
      </w:pPr>
      <w:r w:rsidRPr="00D44AEF">
        <w:rPr>
          <w:b/>
          <w:bCs/>
        </w:rPr>
        <w:t xml:space="preserve">Fall </w:t>
      </w:r>
      <w:r w:rsidR="002217B8">
        <w:rPr>
          <w:b/>
          <w:bCs/>
        </w:rPr>
        <w:t>14</w:t>
      </w:r>
      <w:r w:rsidRPr="00D44AEF">
        <w:rPr>
          <w:b/>
          <w:bCs/>
        </w:rPr>
        <w:t>:</w:t>
      </w:r>
    </w:p>
    <w:p w:rsidR="003337AA" w:rsidRDefault="003337AA" w:rsidP="00841D00">
      <w:pPr>
        <w:ind w:left="2832"/>
        <w:jc w:val="both"/>
      </w:pPr>
    </w:p>
    <w:p w:rsidR="003337AA" w:rsidRDefault="003337AA" w:rsidP="00841D00">
      <w:pPr>
        <w:ind w:left="2832"/>
        <w:jc w:val="both"/>
      </w:pPr>
      <w:r>
        <w:t xml:space="preserve">Wie </w:t>
      </w:r>
      <w:r w:rsidR="002217B8">
        <w:t>zuvor.</w:t>
      </w:r>
    </w:p>
    <w:p w:rsidR="003337AA" w:rsidRPr="005B2A3B" w:rsidRDefault="003337AA" w:rsidP="00841D00">
      <w:pPr>
        <w:ind w:left="2832"/>
        <w:jc w:val="both"/>
        <w:rPr>
          <w:szCs w:val="24"/>
        </w:rPr>
      </w:pPr>
      <w:r>
        <w:t xml:space="preserve">Der zum Geschäftsführer und zum Prokuristen berufende Kommanditist nimmt nach Aufnahme der Geschäftstätigkeit die wesentlichen Geschäftsführungs- und Vertretungsaufgaben wahr. Nach außen trifft der so tätige Kommanditist alle maßgeblichen Entscheidungen. Nachdem die KG zahlungsunfähig wird, stellen die Gläubiger die Frage, ob sie den so handelnden Kommanditisten auch persönlich in </w:t>
      </w:r>
      <w:r w:rsidRPr="005B2A3B">
        <w:rPr>
          <w:szCs w:val="24"/>
        </w:rPr>
        <w:t xml:space="preserve">Anspruch nehmen könne. </w:t>
      </w:r>
    </w:p>
    <w:p w:rsidR="003337AA" w:rsidRPr="005B2A3B" w:rsidRDefault="003337AA" w:rsidP="00841D00">
      <w:pPr>
        <w:ind w:left="2832"/>
        <w:jc w:val="both"/>
        <w:rPr>
          <w:szCs w:val="24"/>
        </w:rPr>
      </w:pPr>
    </w:p>
    <w:p w:rsidR="003337AA" w:rsidRDefault="003337AA" w:rsidP="00841D00">
      <w:pPr>
        <w:ind w:left="2832"/>
        <w:jc w:val="both"/>
      </w:pPr>
      <w:r w:rsidRPr="005B2A3B">
        <w:rPr>
          <w:szCs w:val="24"/>
        </w:rPr>
        <w:t>Auch</w:t>
      </w:r>
      <w:r>
        <w:t xml:space="preserve"> bei der Ausgestaltung einer kapitalistisch organisierten Kommanditgesellschaft kann der Zusammenhang zwischen Handlungsbefugnis und Haftung bei den Personenhandelsgesellschaften allein nicht dazu führen, dass der mit besonderen Befugnissen ausgestaltete Kommanditist in einer kapitalistischen KG auch unbeschränkt haftet. Zwar besteht das Prinzip, dass die Unternehmensleitung auch zu einer persönlichen Haftung in einem inneren und unmittelbaren Zusammenhang steht. Gleichwohl existiert kein zwingender wirtschaftsverfassungsrechtlicher Grundsatz, der bei einer andersartigen gesellschaftsvertraglichen Verteilung der Machtverhältnisse in einer Gesellschaftsform stets zu beachten sei. Deshalb haftet nicht schon derjenige Kommanditist unbeschränkt persönlich für die Gesellschaftsverbindlichkeiten, der wirtschaftlich gesehen als Alleininhaber des Unternehmens feststeht (BGHZ 45, 204). Sofern allerdings nach außen der Eindruck einer unbeschränkten Haftung hervorgerufen wird, kommt auch eine persönliche Haftung des Kommanditisten in Betracht (BGH a. a. O.; OLG Hamm MDR 1963, 849; vgl. ferner sog. </w:t>
      </w:r>
      <w:proofErr w:type="spellStart"/>
      <w:r>
        <w:t>Rektorfall</w:t>
      </w:r>
      <w:proofErr w:type="spellEnd"/>
      <w:r>
        <w:t>)</w:t>
      </w:r>
    </w:p>
    <w:p w:rsidR="003337AA" w:rsidRDefault="003337AA" w:rsidP="00841D00">
      <w:pPr>
        <w:ind w:left="2832"/>
        <w:jc w:val="both"/>
      </w:pPr>
    </w:p>
    <w:p w:rsidR="0086200A" w:rsidRPr="0086200A" w:rsidRDefault="0086200A" w:rsidP="00841D00">
      <w:pPr>
        <w:ind w:left="2832"/>
        <w:jc w:val="both"/>
        <w:rPr>
          <w:b/>
        </w:rPr>
      </w:pPr>
      <w:r w:rsidRPr="0086200A">
        <w:rPr>
          <w:b/>
        </w:rPr>
        <w:t xml:space="preserve">Fall </w:t>
      </w:r>
      <w:r w:rsidR="002217B8">
        <w:rPr>
          <w:b/>
        </w:rPr>
        <w:t>15</w:t>
      </w:r>
      <w:r w:rsidRPr="0086200A">
        <w:rPr>
          <w:b/>
        </w:rPr>
        <w:t>:</w:t>
      </w:r>
    </w:p>
    <w:p w:rsidR="0086200A" w:rsidRDefault="0086200A" w:rsidP="00841D00">
      <w:pPr>
        <w:ind w:left="2832"/>
        <w:jc w:val="both"/>
      </w:pPr>
    </w:p>
    <w:p w:rsidR="0086200A" w:rsidRDefault="0086200A" w:rsidP="0086200A">
      <w:pPr>
        <w:ind w:left="2832"/>
        <w:jc w:val="both"/>
      </w:pPr>
      <w:r>
        <w:t xml:space="preserve">C und D sind begeisterte Sportflieger. Sie kaufen sich gemeinsam eine kunstflugtaugliche Cessna Sportmaschine, mit der sie Hobbyflüge veranstalten. C kommt auf die Idee, bei diesen Flügen Luftbildaufnahmen durchzuführen. D ist hiermit </w:t>
      </w:r>
      <w:r>
        <w:lastRenderedPageBreak/>
        <w:t>einverstanden. Sie vereinbaren schriftlich, dass die Flüge gemeinsam finanziert und abwechselnd einer fliegt und einer fotografiert. Die Einnahmen sollen geteilt werden. C, der über eine Kunstfluglizenz verfügt neigt – was D bekannt ist – zu gewagten Flugmanövern. Bei einem gemeinsamen Fotobildeinsatz, der von C geflogen wird, fliegt dieser im Steilflug das zu fotografierende Objekt an. Als er die Maschine abfängt, löst sich die Haltevorrichtung für die Fotoinstallationen und verletzt D am Kopf schwer. D ist über vier Monate arbeitsunfähig und hat erhebliche Kosten für die gesundheitliche Behandlung zu tragen. Er verlangt von C Schadensersatz. Wie ist die Rechtslage?</w:t>
      </w:r>
    </w:p>
    <w:p w:rsidR="002217B8" w:rsidRDefault="002217B8" w:rsidP="0086200A">
      <w:pPr>
        <w:ind w:left="2832"/>
        <w:jc w:val="both"/>
      </w:pPr>
    </w:p>
    <w:p w:rsidR="00B66994" w:rsidRPr="00620522" w:rsidRDefault="0086200A" w:rsidP="00B66994">
      <w:pPr>
        <w:ind w:left="2832"/>
        <w:jc w:val="both"/>
      </w:pPr>
      <w:r>
        <w:t>Anspruchsgrundlage sind §§ 280 Abs. 1, 241 BGB. Die Haftung könnte aber nach § 708 BGB eingeschränkt sein (BGH MDR 1971, 918).</w:t>
      </w:r>
      <w:r w:rsidR="000919E6">
        <w:t xml:space="preserve"> Generell kann bei Nähe-Verhältnissen eine Haftungsbegrenzung bestehen.</w:t>
      </w:r>
    </w:p>
    <w:p w:rsidR="00B66994" w:rsidRDefault="00B66994" w:rsidP="00841D00">
      <w:pPr>
        <w:ind w:left="2832"/>
        <w:jc w:val="both"/>
      </w:pPr>
    </w:p>
    <w:p w:rsidR="00B66994" w:rsidRDefault="00B66994" w:rsidP="00841D00">
      <w:pPr>
        <w:ind w:left="2832"/>
        <w:jc w:val="both"/>
      </w:pPr>
    </w:p>
    <w:p w:rsidR="00B66994" w:rsidRDefault="00B66994" w:rsidP="00841D00">
      <w:pPr>
        <w:ind w:left="2832"/>
        <w:jc w:val="both"/>
      </w:pPr>
    </w:p>
    <w:p w:rsidR="003337AA" w:rsidRPr="003337AA" w:rsidRDefault="003337AA" w:rsidP="00556404">
      <w:pPr>
        <w:ind w:left="2832"/>
        <w:rPr>
          <w:b/>
        </w:rPr>
      </w:pPr>
      <w:r>
        <w:br w:type="page"/>
      </w:r>
      <w:r w:rsidRPr="003337AA">
        <w:rPr>
          <w:b/>
        </w:rPr>
        <w:lastRenderedPageBreak/>
        <w:t>II. Recht der Kapitalgesellschaften</w:t>
      </w:r>
    </w:p>
    <w:p w:rsidR="003337AA" w:rsidRDefault="003337AA" w:rsidP="00841D00">
      <w:pPr>
        <w:ind w:left="2832"/>
        <w:jc w:val="both"/>
      </w:pPr>
    </w:p>
    <w:p w:rsidR="003337AA" w:rsidRPr="00EC658F" w:rsidRDefault="003337AA" w:rsidP="00841D00">
      <w:pPr>
        <w:ind w:left="2832"/>
        <w:jc w:val="both"/>
        <w:rPr>
          <w:b/>
          <w:bCs/>
        </w:rPr>
      </w:pPr>
      <w:r w:rsidRPr="00EC658F">
        <w:rPr>
          <w:b/>
          <w:bCs/>
        </w:rPr>
        <w:t>Fall 1:</w:t>
      </w:r>
    </w:p>
    <w:p w:rsidR="003337AA" w:rsidRDefault="003337AA" w:rsidP="00841D00">
      <w:pPr>
        <w:ind w:left="2832"/>
        <w:jc w:val="both"/>
      </w:pPr>
    </w:p>
    <w:p w:rsidR="003337AA" w:rsidRDefault="003337AA" w:rsidP="00841D00">
      <w:pPr>
        <w:ind w:left="2832"/>
        <w:jc w:val="both"/>
      </w:pPr>
      <w:r>
        <w:t>X und Y gründen mit Gesellsch</w:t>
      </w:r>
      <w:r w:rsidR="00F026E3">
        <w:t>aftsvertrag vom 28. Oktober 2015</w:t>
      </w:r>
      <w:r>
        <w:t xml:space="preserve"> als gleichberechtigte Gesellschafter eine GmbH mit einem Stammkapital von 25.000,00 €. X und Y überweisen jeweils 12.500,00 € auf das Konto der Gesellschaft. X verkauft dann Ende November der GmbH seinen PKW, der für verschiedenen Tätigkeiten in der Gesellschaft benötigt wird zu einem Kaufpreis von 11.000,00 €, der noch im Dezember gezahlt wird. Nunmehr verschlechtert sich die wirtschaftliche Situation der </w:t>
      </w:r>
      <w:r w:rsidR="00F026E3">
        <w:t>Gesellschaft. Anfang Januar 2016</w:t>
      </w:r>
      <w:r>
        <w:t xml:space="preserve"> wird über das Vermögen der GmbH das Insolvenzverfahren eröffnet. Der Insolvenzverwalter verlangt unter Berufung auf § 19 Abs. 1 GmbHG, § 80 InsO von X die Zahlung von 11.000,00 €, da er der Ansicht ist, X habe seine Stammeinlage nicht voll erbracht. X meint, seine Ansprüche seien durch Erfüllung erloschen. Wie ist die Rechtslage?</w:t>
      </w:r>
    </w:p>
    <w:p w:rsidR="003337AA" w:rsidRDefault="003337AA" w:rsidP="00841D00">
      <w:pPr>
        <w:ind w:left="2832"/>
        <w:jc w:val="both"/>
      </w:pPr>
    </w:p>
    <w:p w:rsidR="003337AA" w:rsidRDefault="003337AA" w:rsidP="00841D00">
      <w:pPr>
        <w:ind w:left="2832"/>
        <w:jc w:val="both"/>
      </w:pPr>
      <w:r>
        <w:t>Anspruchsgrundlage nach § 19 Abs. 1, 5 GmbHG, § 80 InsO. Nach der Rechtsprechung reicht für das Merkmal der Rückzahlung eine mittelbare Begünstigung aus (BGH ZIP 1996, 1248).</w:t>
      </w:r>
    </w:p>
    <w:p w:rsidR="003337AA" w:rsidRDefault="003337AA" w:rsidP="00841D00">
      <w:pPr>
        <w:ind w:left="2832"/>
        <w:jc w:val="both"/>
      </w:pPr>
    </w:p>
    <w:p w:rsidR="003337AA" w:rsidRPr="00E51F5F" w:rsidRDefault="003337AA" w:rsidP="00841D00">
      <w:pPr>
        <w:ind w:left="2832"/>
        <w:jc w:val="both"/>
        <w:rPr>
          <w:b/>
          <w:i/>
        </w:rPr>
      </w:pPr>
      <w:r w:rsidRPr="00E51F5F">
        <w:rPr>
          <w:b/>
          <w:i/>
        </w:rPr>
        <w:t>§ 19 GmbHG (Leistung der Einlagen)</w:t>
      </w:r>
    </w:p>
    <w:p w:rsidR="003337AA" w:rsidRPr="00E51F5F" w:rsidRDefault="003337AA" w:rsidP="00841D00">
      <w:pPr>
        <w:ind w:left="2832"/>
        <w:jc w:val="both"/>
        <w:rPr>
          <w:i/>
        </w:rPr>
      </w:pPr>
      <w:r w:rsidRPr="00E51F5F">
        <w:rPr>
          <w:i/>
        </w:rPr>
        <w:t>(1) Die Einzahlungen auf die Geschäftsanteile sind nach dem Verhältnis der Geldeinlagen zu leisten.</w:t>
      </w:r>
    </w:p>
    <w:p w:rsidR="003337AA" w:rsidRPr="00E51F5F" w:rsidRDefault="003337AA" w:rsidP="00841D00">
      <w:pPr>
        <w:ind w:left="2832"/>
        <w:jc w:val="both"/>
        <w:rPr>
          <w:i/>
        </w:rPr>
      </w:pPr>
      <w:r w:rsidRPr="00E51F5F">
        <w:rPr>
          <w:i/>
        </w:rPr>
        <w:t>…</w:t>
      </w:r>
    </w:p>
    <w:p w:rsidR="003337AA" w:rsidRPr="00E51F5F" w:rsidRDefault="003337AA" w:rsidP="00841D00">
      <w:pPr>
        <w:ind w:left="2832"/>
        <w:jc w:val="both"/>
        <w:rPr>
          <w:i/>
        </w:rPr>
      </w:pPr>
      <w:r w:rsidRPr="00E51F5F">
        <w:rPr>
          <w:i/>
        </w:rPr>
        <w:t>(5) Ist vor der Einlage eine Leistung an den Gesellschafter vereinbart worden, die wirtschaftlich einer Rückzahlung der Einlage entspricht und die nicht als verdeckte Sacheinlage im Sinne von Absatz 4 zu beurteilen ist, so befreit dies den Gesellschafter von seiner Einlageverpflichtung nur dann, wenn die Leistung durch einen vollwertigen Rückgewähranspruch gedeckt ist, der jederzeit fällig ist oder durch fristlose Kündigung durch die Gesellschaft fällig werden kann. Eine solche Leistung oder die Vereinbarung einer solchen Leistung ist in der Anmeldung nach § 8 anzugeben.</w:t>
      </w:r>
    </w:p>
    <w:p w:rsidR="003337AA" w:rsidRPr="00E51F5F" w:rsidRDefault="003337AA" w:rsidP="00841D00">
      <w:pPr>
        <w:ind w:left="2832"/>
        <w:jc w:val="both"/>
        <w:rPr>
          <w:i/>
        </w:rPr>
      </w:pPr>
      <w:r w:rsidRPr="00E51F5F">
        <w:rPr>
          <w:i/>
        </w:rPr>
        <w:t>…</w:t>
      </w:r>
    </w:p>
    <w:p w:rsidR="003337AA" w:rsidRDefault="003337AA" w:rsidP="00841D00">
      <w:pPr>
        <w:ind w:left="2832"/>
        <w:jc w:val="both"/>
      </w:pPr>
    </w:p>
    <w:p w:rsidR="003337AA" w:rsidRPr="00E51F5F" w:rsidRDefault="003337AA" w:rsidP="00841D00">
      <w:pPr>
        <w:ind w:left="2832"/>
        <w:jc w:val="both"/>
        <w:rPr>
          <w:b/>
          <w:i/>
        </w:rPr>
      </w:pPr>
      <w:r w:rsidRPr="00E51F5F">
        <w:rPr>
          <w:b/>
          <w:i/>
        </w:rPr>
        <w:t>§ 80 InsO (Übergang des Verwaltungs- und Verfügungsrechts)</w:t>
      </w:r>
    </w:p>
    <w:p w:rsidR="003337AA" w:rsidRPr="00E51F5F" w:rsidRDefault="003337AA" w:rsidP="00841D00">
      <w:pPr>
        <w:ind w:left="2832"/>
        <w:jc w:val="both"/>
        <w:rPr>
          <w:i/>
        </w:rPr>
      </w:pPr>
      <w:r w:rsidRPr="00E51F5F">
        <w:rPr>
          <w:i/>
        </w:rPr>
        <w:t>(1) Durch die Eröffnung des Insolvenzverfahrens geht das Recht des Schuldners, das zur Insolvenzmasse</w:t>
      </w:r>
      <w:r>
        <w:rPr>
          <w:i/>
        </w:rPr>
        <w:t xml:space="preserve"> </w:t>
      </w:r>
      <w:r w:rsidRPr="00E51F5F">
        <w:rPr>
          <w:i/>
        </w:rPr>
        <w:t>gehörende Vermögen zu verwalten und über es zu verfügen, auf den Insolvenzverwalter über.</w:t>
      </w:r>
    </w:p>
    <w:p w:rsidR="003337AA" w:rsidRPr="00E51F5F" w:rsidRDefault="003337AA" w:rsidP="00841D00">
      <w:pPr>
        <w:ind w:left="2832"/>
        <w:jc w:val="both"/>
        <w:rPr>
          <w:i/>
        </w:rPr>
      </w:pPr>
      <w:r w:rsidRPr="00E51F5F">
        <w:rPr>
          <w:i/>
        </w:rPr>
        <w:t>(2) Ein gegen den Schuldner bestehendes Veräußerungsverbot, das nur den Schutz bestimmter Personen</w:t>
      </w:r>
      <w:r>
        <w:rPr>
          <w:i/>
        </w:rPr>
        <w:t xml:space="preserve"> </w:t>
      </w:r>
      <w:r w:rsidRPr="00E51F5F">
        <w:rPr>
          <w:i/>
        </w:rPr>
        <w:t>bezweckt (§§ 135, 136 des Bürgerlichen Gesetzbuchs), hat im Verfahren keine Wirkung. Die Vorschriften über die</w:t>
      </w:r>
      <w:r>
        <w:rPr>
          <w:i/>
        </w:rPr>
        <w:t xml:space="preserve"> </w:t>
      </w:r>
      <w:r w:rsidRPr="00E51F5F">
        <w:rPr>
          <w:i/>
        </w:rPr>
        <w:t>Wirkungen einer Pfändung oder einer Beschlagnahme im Wege der Zwangsvollstreckung bleiben unberührt.</w:t>
      </w:r>
    </w:p>
    <w:p w:rsidR="003337AA" w:rsidRPr="00EC658F" w:rsidRDefault="003337AA" w:rsidP="00841D00">
      <w:pPr>
        <w:ind w:left="2832"/>
        <w:jc w:val="both"/>
        <w:rPr>
          <w:b/>
          <w:bCs/>
        </w:rPr>
      </w:pPr>
      <w:r w:rsidRPr="00EC658F">
        <w:rPr>
          <w:b/>
          <w:bCs/>
        </w:rPr>
        <w:lastRenderedPageBreak/>
        <w:t xml:space="preserve">Fall </w:t>
      </w:r>
      <w:r w:rsidR="0080056F">
        <w:rPr>
          <w:b/>
          <w:bCs/>
        </w:rPr>
        <w:t>2</w:t>
      </w:r>
      <w:r w:rsidRPr="00EC658F">
        <w:rPr>
          <w:b/>
          <w:bCs/>
        </w:rPr>
        <w:t>:</w:t>
      </w:r>
    </w:p>
    <w:p w:rsidR="003337AA" w:rsidRDefault="003337AA" w:rsidP="00841D00">
      <w:pPr>
        <w:pStyle w:val="Textkrper-Zeileneinzug"/>
        <w:ind w:left="2832"/>
      </w:pPr>
    </w:p>
    <w:p w:rsidR="003337AA" w:rsidRDefault="003337AA" w:rsidP="00841D00">
      <w:pPr>
        <w:pStyle w:val="Textkrper-Zeileneinzug"/>
        <w:ind w:left="2832"/>
      </w:pPr>
      <w:r>
        <w:t>A ist zu 50 % Gesellschafter der gGmbH mit einem Stammkapital von 25.000,00 €. Als die GmbH in Schwierigkeiten gerät und von der Hausbank keinen weiteren Kredit mehr erhält, gewährt A der GmbH ein Darlehen in Höhe von 50.000,00 €. Im Zeitpunkt der Darlehens</w:t>
      </w:r>
      <w:r>
        <w:softHyphen/>
        <w:t xml:space="preserve">gewährung ist die GmbH mit 25.000,00 € überschuldet. Gleichwohl zahlt die GmbH dem A das Darlehen in Höhe von 50.000,00 € </w:t>
      </w:r>
      <w:r w:rsidR="00EC658F">
        <w:t xml:space="preserve">vor Stellung des Insolvenzantrages </w:t>
      </w:r>
      <w:r>
        <w:t>zurück. Kann der Insolvenzverwalter der GmbH Rückzahlung der 50.000,00 € von A verlangen?</w:t>
      </w:r>
    </w:p>
    <w:p w:rsidR="003337AA" w:rsidRDefault="003337AA" w:rsidP="00841D00">
      <w:pPr>
        <w:pStyle w:val="Textkrper-Zeileneinzug"/>
        <w:ind w:left="2832"/>
        <w:rPr>
          <w:sz w:val="16"/>
        </w:rPr>
      </w:pPr>
    </w:p>
    <w:p w:rsidR="003337AA" w:rsidRDefault="003337AA" w:rsidP="00841D00">
      <w:pPr>
        <w:pStyle w:val="Textkrper-Zeileneinzug"/>
        <w:ind w:left="2832"/>
      </w:pPr>
      <w:r>
        <w:t>Nach § 39 Abs. 1 Nr. 5 InsO (früherer § 32 a Abs. 1 GmbHG) kann der Gesellschafter einer GmbH einen Anspruch auf Rückgewähr kapitalersetzender Darlehen nur als nachrangiger Insolvenzgläubiger geltend machen. Voraussetzung ist, dass das Darlehen kapitalersetzend war, was immer dann der Fall ist, wenn die Gesellschaft zahlungsunfähig oder überschuldet ist. Anspruchsgrundlage für die Rückgewähr ist § 143 Abs. 1 i. V</w:t>
      </w:r>
      <w:r w:rsidR="001A38C4">
        <w:t>. m. § 135 Abs. 1 und § 39 Abs. </w:t>
      </w:r>
      <w:r>
        <w:t>1 Nr. 5 InsO.</w:t>
      </w:r>
    </w:p>
    <w:p w:rsidR="003337AA" w:rsidRDefault="003337AA" w:rsidP="00841D00">
      <w:pPr>
        <w:ind w:left="2832"/>
        <w:jc w:val="both"/>
      </w:pPr>
    </w:p>
    <w:p w:rsidR="003337AA" w:rsidRPr="00E51F5F" w:rsidRDefault="003337AA" w:rsidP="00841D00">
      <w:pPr>
        <w:ind w:left="2832"/>
        <w:jc w:val="both"/>
        <w:rPr>
          <w:b/>
          <w:i/>
        </w:rPr>
      </w:pPr>
      <w:r w:rsidRPr="00E51F5F">
        <w:rPr>
          <w:b/>
          <w:i/>
        </w:rPr>
        <w:t>§ 39 InsO (Nachrangige Insolvenzgläubiger)</w:t>
      </w:r>
    </w:p>
    <w:p w:rsidR="003337AA" w:rsidRPr="00E51F5F" w:rsidRDefault="003337AA" w:rsidP="00841D00">
      <w:pPr>
        <w:ind w:left="2832"/>
        <w:jc w:val="both"/>
        <w:rPr>
          <w:i/>
        </w:rPr>
      </w:pPr>
      <w:r w:rsidRPr="00E51F5F">
        <w:rPr>
          <w:i/>
        </w:rPr>
        <w:t>(1) Im Rang nach den übrigen Forderungen der Insolvenzgläubiger werden in folgender Rangfolge, bei gleichem</w:t>
      </w:r>
      <w:r>
        <w:rPr>
          <w:i/>
        </w:rPr>
        <w:t xml:space="preserve"> </w:t>
      </w:r>
      <w:r w:rsidRPr="00E51F5F">
        <w:rPr>
          <w:i/>
        </w:rPr>
        <w:t>Rang nach dem Verhältnis ihrer Beträge, berichtigt:</w:t>
      </w:r>
    </w:p>
    <w:p w:rsidR="003337AA" w:rsidRDefault="003337AA" w:rsidP="00841D00">
      <w:pPr>
        <w:ind w:left="2832"/>
        <w:jc w:val="both"/>
        <w:rPr>
          <w:i/>
        </w:rPr>
      </w:pPr>
      <w:r>
        <w:rPr>
          <w:i/>
        </w:rPr>
        <w:t>…</w:t>
      </w:r>
    </w:p>
    <w:p w:rsidR="003337AA" w:rsidRPr="00E51F5F" w:rsidRDefault="003337AA" w:rsidP="00841D00">
      <w:pPr>
        <w:ind w:left="2832"/>
        <w:jc w:val="both"/>
        <w:rPr>
          <w:i/>
        </w:rPr>
      </w:pPr>
      <w:r w:rsidRPr="00E51F5F">
        <w:rPr>
          <w:i/>
        </w:rPr>
        <w:t>5.  nach Maßgabe der Absätze 4 und 5 Forderungen auf Rückgewähr eines Gesellschafterdarlehens oder</w:t>
      </w:r>
      <w:r>
        <w:rPr>
          <w:i/>
        </w:rPr>
        <w:t xml:space="preserve"> </w:t>
      </w:r>
      <w:r w:rsidRPr="00E51F5F">
        <w:rPr>
          <w:i/>
        </w:rPr>
        <w:t>Forderungen aus Rechtshandlungen, die einem solchen Darlehen wirtschaftlich entsprechen.</w:t>
      </w:r>
    </w:p>
    <w:p w:rsidR="003337AA" w:rsidRDefault="003337AA" w:rsidP="00841D00">
      <w:pPr>
        <w:ind w:left="2832"/>
        <w:jc w:val="both"/>
      </w:pPr>
      <w:r>
        <w:t>…</w:t>
      </w:r>
    </w:p>
    <w:p w:rsidR="003337AA" w:rsidRDefault="003337AA" w:rsidP="00841D00">
      <w:pPr>
        <w:ind w:left="2832"/>
        <w:jc w:val="both"/>
      </w:pPr>
    </w:p>
    <w:p w:rsidR="0080056F" w:rsidRPr="00EC658F" w:rsidRDefault="0080056F" w:rsidP="0080056F">
      <w:pPr>
        <w:ind w:left="2832"/>
        <w:jc w:val="both"/>
        <w:rPr>
          <w:b/>
          <w:bCs/>
        </w:rPr>
      </w:pPr>
      <w:r w:rsidRPr="00EC658F">
        <w:rPr>
          <w:b/>
          <w:bCs/>
        </w:rPr>
        <w:t xml:space="preserve">Fall </w:t>
      </w:r>
      <w:r w:rsidR="00A00B17">
        <w:rPr>
          <w:b/>
          <w:bCs/>
        </w:rPr>
        <w:t>3</w:t>
      </w:r>
      <w:r w:rsidRPr="00EC658F">
        <w:rPr>
          <w:b/>
          <w:bCs/>
        </w:rPr>
        <w:t>:</w:t>
      </w:r>
    </w:p>
    <w:p w:rsidR="0080056F" w:rsidRDefault="0080056F" w:rsidP="0080056F">
      <w:pPr>
        <w:ind w:left="2832"/>
        <w:jc w:val="both"/>
      </w:pPr>
    </w:p>
    <w:p w:rsidR="0080056F" w:rsidRDefault="0080056F" w:rsidP="0080056F">
      <w:pPr>
        <w:ind w:left="2832"/>
        <w:jc w:val="both"/>
      </w:pPr>
      <w:r>
        <w:t>A und B schließen am 15. Januar 2015 einen GmbH-Vertrag über die A</w:t>
      </w:r>
      <w:r>
        <w:noBreakHyphen/>
        <w:t>GmbH notariell ab und ernennen X zum Geschäftsführer. Vom Stammkapital in Höhe von 25.000,00 € zahlen sie jeweils 6.250,00 € ein. Am 30.01.2015 bestellt X im Namen der Gesellschaft mit Zustimmung von A und B bei der Firma G einen Kleinbagger zum Preis von 88.000,00 €, der am 15. Februar 2015 geliefert wird. Es erfolgt keine Zahlung. Die Eintragung der Gesellschaft verzögert sich, wird aber von A und B noch gewünscht und von X betrieben. Die Firma G will gegen die A-GmbH i. G. sowie gegen X, A und B vorgehen. Wie ist die Rechtslage?</w:t>
      </w:r>
    </w:p>
    <w:p w:rsidR="0080056F" w:rsidRDefault="0080056F" w:rsidP="0080056F">
      <w:pPr>
        <w:ind w:left="2832"/>
        <w:jc w:val="both"/>
      </w:pPr>
    </w:p>
    <w:p w:rsidR="0080056F" w:rsidRDefault="0080056F" w:rsidP="0080056F">
      <w:pPr>
        <w:ind w:left="2832"/>
        <w:jc w:val="both"/>
      </w:pPr>
      <w:r>
        <w:t>Anspruchsgrundlage: § 433 Abs. 2 BGB i. V. m. § 11 Abs. 2 GmbHG gegen X, A und B</w:t>
      </w:r>
    </w:p>
    <w:p w:rsidR="0080056F" w:rsidRDefault="0080056F" w:rsidP="0080056F">
      <w:pPr>
        <w:ind w:left="2832"/>
        <w:jc w:val="both"/>
      </w:pPr>
    </w:p>
    <w:p w:rsidR="00A00B17" w:rsidRDefault="00A00B17" w:rsidP="0080056F">
      <w:pPr>
        <w:ind w:left="2832"/>
        <w:jc w:val="both"/>
      </w:pPr>
    </w:p>
    <w:p w:rsidR="00A00B17" w:rsidRDefault="00A00B17" w:rsidP="0080056F">
      <w:pPr>
        <w:ind w:left="2832"/>
        <w:jc w:val="both"/>
      </w:pPr>
    </w:p>
    <w:p w:rsidR="0080056F" w:rsidRPr="00E51F5F" w:rsidRDefault="0080056F" w:rsidP="0080056F">
      <w:pPr>
        <w:ind w:left="2832"/>
        <w:jc w:val="both"/>
        <w:rPr>
          <w:b/>
          <w:i/>
        </w:rPr>
      </w:pPr>
      <w:r w:rsidRPr="00E51F5F">
        <w:rPr>
          <w:b/>
          <w:i/>
        </w:rPr>
        <w:lastRenderedPageBreak/>
        <w:t>§ 11 GmbHG (Rechtszustand vor der Eintragung)</w:t>
      </w:r>
    </w:p>
    <w:p w:rsidR="0080056F" w:rsidRPr="00E51F5F" w:rsidRDefault="0080056F" w:rsidP="0080056F">
      <w:pPr>
        <w:ind w:left="2832"/>
        <w:jc w:val="both"/>
        <w:rPr>
          <w:i/>
        </w:rPr>
      </w:pPr>
      <w:r w:rsidRPr="00E51F5F">
        <w:rPr>
          <w:i/>
        </w:rPr>
        <w:t>…</w:t>
      </w:r>
    </w:p>
    <w:p w:rsidR="0080056F" w:rsidRPr="00E51F5F" w:rsidRDefault="0080056F" w:rsidP="0080056F">
      <w:pPr>
        <w:ind w:left="2832"/>
        <w:jc w:val="both"/>
        <w:rPr>
          <w:i/>
        </w:rPr>
      </w:pPr>
      <w:r w:rsidRPr="00E51F5F">
        <w:rPr>
          <w:i/>
        </w:rPr>
        <w:t>(2) Ist vor der Eintragung im Namen der Gesellschaft gehandelt worden, so haften die Handelnden persönlich und solidarisch.</w:t>
      </w:r>
    </w:p>
    <w:p w:rsidR="0080056F" w:rsidRDefault="0080056F" w:rsidP="00841D00">
      <w:pPr>
        <w:ind w:left="2832"/>
        <w:jc w:val="both"/>
      </w:pPr>
    </w:p>
    <w:p w:rsidR="00066E76" w:rsidRPr="003C2EBB" w:rsidRDefault="00066E76" w:rsidP="00066E76">
      <w:pPr>
        <w:ind w:left="2832"/>
        <w:rPr>
          <w:rStyle w:val="Fett"/>
        </w:rPr>
      </w:pPr>
      <w:r w:rsidRPr="003C2EBB">
        <w:rPr>
          <w:rStyle w:val="Fett"/>
        </w:rPr>
        <w:t xml:space="preserve">Fall </w:t>
      </w:r>
      <w:r w:rsidR="00A00B17">
        <w:rPr>
          <w:rStyle w:val="Fett"/>
        </w:rPr>
        <w:t>4</w:t>
      </w:r>
      <w:r w:rsidRPr="003C2EBB">
        <w:rPr>
          <w:rStyle w:val="Fett"/>
        </w:rPr>
        <w:t>:</w:t>
      </w:r>
    </w:p>
    <w:p w:rsidR="00066E76" w:rsidRDefault="00066E76" w:rsidP="00066E76">
      <w:pPr>
        <w:ind w:left="2832"/>
        <w:jc w:val="both"/>
      </w:pPr>
    </w:p>
    <w:p w:rsidR="00066E76" w:rsidRDefault="00066E76" w:rsidP="00066E76">
      <w:pPr>
        <w:ind w:left="2832"/>
        <w:jc w:val="both"/>
      </w:pPr>
      <w:r>
        <w:t xml:space="preserve">A ist Geschäftsführer einer GmbH. Er erkennt, dass die GmbH die Gehälter für Januar und Februar 2016 nicht mehr zahlen kann. Er bittet um Auskunft, welche Pflichten ihn als Geschäftsführer treffen. Auch möchte er wissen, ob er einfach das Amt als Geschäftsführer niederlegen kann und er sich dann um die GmbH nicht mehr kümmern muss. </w:t>
      </w:r>
    </w:p>
    <w:p w:rsidR="00066E76" w:rsidRDefault="00066E76" w:rsidP="00066E76">
      <w:pPr>
        <w:ind w:left="2832"/>
        <w:jc w:val="both"/>
      </w:pPr>
    </w:p>
    <w:p w:rsidR="00066E76" w:rsidRDefault="00066E76" w:rsidP="00066E76">
      <w:pPr>
        <w:ind w:left="2832"/>
        <w:jc w:val="both"/>
      </w:pPr>
      <w:r>
        <w:t xml:space="preserve">Nach § 15 a InsO müssen die Mitglieder des Vertretungsorgans der juristischen Person im Falle der Zahlungsunfähigkeit oder der Überschuldung ohne schuldhaftes Verzögern, spätestens aber drei Wochen nach Eintritt der Zahlungsunfähigkeit oder Überschuldung, einen Insolvenzantrag stellen. Die Verpflichtung zur Antragstellung erlischt nur dann, wenn der Geschäftsführer wirksam sein Amt niederlegt. Die Antragspflicht bleibt im Falle der unwirksamen Amtsniederlegung bestehen. Eine solche unwirksame Amtsniederlegung liegt vor, wenn der einzige Geschäftsführer sein Amt niederlegt, er keinen wichtigen Grund hierfür hat und er auch keinen Nachfolger vorschlägt und der Gesellschaft auch nicht hinreichend Gelegenheit gibt, einen Nachfolger zu bestellen. </w:t>
      </w:r>
    </w:p>
    <w:p w:rsidR="00066E76" w:rsidRDefault="00066E76" w:rsidP="00066E76">
      <w:pPr>
        <w:ind w:left="2832"/>
        <w:jc w:val="both"/>
      </w:pPr>
    </w:p>
    <w:p w:rsidR="00066E76" w:rsidRPr="003C2EBB" w:rsidRDefault="00066E76" w:rsidP="00066E76">
      <w:pPr>
        <w:ind w:left="2832"/>
        <w:rPr>
          <w:b/>
        </w:rPr>
      </w:pPr>
      <w:r w:rsidRPr="003C2EBB">
        <w:rPr>
          <w:b/>
        </w:rPr>
        <w:t xml:space="preserve">Fall </w:t>
      </w:r>
      <w:r w:rsidR="00A00B17">
        <w:rPr>
          <w:b/>
        </w:rPr>
        <w:t>5</w:t>
      </w:r>
      <w:r w:rsidRPr="003C2EBB">
        <w:rPr>
          <w:b/>
        </w:rPr>
        <w:t>:</w:t>
      </w:r>
    </w:p>
    <w:p w:rsidR="00066E76" w:rsidRDefault="00066E76" w:rsidP="00066E76">
      <w:pPr>
        <w:ind w:left="2832"/>
        <w:jc w:val="both"/>
      </w:pPr>
    </w:p>
    <w:p w:rsidR="00066E76" w:rsidRDefault="00066E76" w:rsidP="00066E76">
      <w:pPr>
        <w:ind w:left="2832"/>
        <w:jc w:val="both"/>
      </w:pPr>
      <w:r>
        <w:t xml:space="preserve">Welches Haftungsrisiko bestünde für A bei Fall </w:t>
      </w:r>
      <w:r w:rsidR="004B3E64">
        <w:t>6</w:t>
      </w:r>
      <w:r>
        <w:t>, wenn er sich einfach nicht weiter um die GmbH kümmert und auch keinen Insolvenzantrag stellt?</w:t>
      </w:r>
    </w:p>
    <w:p w:rsidR="00066E76" w:rsidRDefault="00066E76" w:rsidP="00066E76">
      <w:pPr>
        <w:ind w:left="2832"/>
        <w:jc w:val="both"/>
      </w:pPr>
    </w:p>
    <w:p w:rsidR="00066E76" w:rsidRDefault="00066E76" w:rsidP="00066E76">
      <w:pPr>
        <w:ind w:left="2832"/>
        <w:jc w:val="both"/>
      </w:pPr>
      <w:r>
        <w:t>Neben der strafrechtlichen Sanktion nach § 15 a Abs. 4 InsO drohen dem Geschäftsführer bei Verletzung der Antragspflicht nach § 15 a InsO i. V. m. § 823 Abs. 2 BGB Haftungsansprüche seitens derjenigen Vertragspartner, die ab Insolvenzantragsverschleppung vertragliche Forderungen gegen die Gesellschaft erlangen, die nicht mehr vollständig erfüllt werden. Diese Neugläubiger haben gegen den Geschäftsführer nach § 823 Abs. 2 BGB i. V. m. § 15 a Abs. 4 InsO einen Anspruch auf Ersatz ihres Schadens, von dem sie bei rechtmäßigem Verhalten des Geschäftsführers bewahrt worden wären. Dieser Anspruch kann nur vom jeweiligen einzelnen Gläubiger, nicht hingegen vom Insolvenzverwalter geltend gemacht werden. Dagegen können die Schadenersatzansprüche der Altgläubiger bis zum Beginn der Insolvenzverschleppung vom Insolvenzverwalter geltend gemacht werden (vgl. zum sog. Quotenschaden bei Neu- und Altgläubigern: BGH-Z 138, 211).</w:t>
      </w:r>
    </w:p>
    <w:p w:rsidR="00066E76" w:rsidRPr="003C2EBB" w:rsidRDefault="00066E76" w:rsidP="00066E76">
      <w:pPr>
        <w:ind w:left="2832"/>
        <w:rPr>
          <w:b/>
        </w:rPr>
      </w:pPr>
      <w:r w:rsidRPr="003C2EBB">
        <w:rPr>
          <w:b/>
        </w:rPr>
        <w:lastRenderedPageBreak/>
        <w:t xml:space="preserve">Fall </w:t>
      </w:r>
      <w:r w:rsidR="00A00B17">
        <w:rPr>
          <w:b/>
        </w:rPr>
        <w:t>6</w:t>
      </w:r>
      <w:r w:rsidRPr="003C2EBB">
        <w:rPr>
          <w:b/>
        </w:rPr>
        <w:t>:</w:t>
      </w:r>
    </w:p>
    <w:p w:rsidR="00066E76" w:rsidRDefault="00066E76" w:rsidP="00066E76">
      <w:pPr>
        <w:ind w:left="2832"/>
        <w:jc w:val="both"/>
      </w:pPr>
    </w:p>
    <w:p w:rsidR="00066E76" w:rsidRDefault="00066E76" w:rsidP="00066E76">
      <w:pPr>
        <w:ind w:left="2832"/>
        <w:jc w:val="both"/>
      </w:pPr>
      <w:r>
        <w:t>Am 3. Mai 2015 stellte eine Gläubigerin der A-GmbH einen Antrag auf Eröffnung des Insolvenzverfahrens über das Vermögen der Gesellschaft. Deren alleinige Geschäftsführerin und Mehrheitsgesellschafterin erklärte sodann am 22. Mai 2015 ihre Amtsniederlegung und beantragte ihre Löschung als Geschäftsführerin im Handelsregister. Das Registergericht wies die Anmeldung zurück. Wie ist die Rechtslage?</w:t>
      </w:r>
    </w:p>
    <w:p w:rsidR="00066E76" w:rsidRDefault="00066E76" w:rsidP="00066E76">
      <w:pPr>
        <w:ind w:left="2832"/>
        <w:jc w:val="both"/>
        <w:rPr>
          <w:sz w:val="16"/>
        </w:rPr>
      </w:pPr>
    </w:p>
    <w:p w:rsidR="00066E76" w:rsidRDefault="00066E76" w:rsidP="00066E76">
      <w:pPr>
        <w:ind w:left="2832"/>
        <w:jc w:val="both"/>
      </w:pPr>
      <w:r>
        <w:t xml:space="preserve">Das OLG Köln verneint die Wirksamkeit der Amtsniederlegung. Zwar ist die von einem Geschäftsführer einer GmbH erklärte Amtsniederlegung selbst dann wirksam, wenn objektiv kein wichtiger Grund vorliegt und wenn sich der Geschäftsführer auch nicht auf das Bestehen eines solchen beruft. Dies gilt jedoch nicht im Falle eines Rechtsmissbrauchs. Ein solcher liegt anerkanntermaßen regelmäßig vor, wenn es sich bei dem niederlegenden Geschäftsführer um den einzigen handelt, dieser zugleich </w:t>
      </w:r>
      <w:proofErr w:type="gramStart"/>
      <w:r>
        <w:t>alleiniger</w:t>
      </w:r>
      <w:proofErr w:type="gramEnd"/>
      <w:r>
        <w:t xml:space="preserve"> Gesellschafter ist und davon absieht, einen neuen Geschäftsführer für die Gesellschaft zu bestellen. Dies verlangt das Interesse des Rechtsverkehrs an der Handlungsfähigkeit der Gesellschaft, die andernfalls vollständig beseitig würde. Grund für die Missbilligung der Amtsniederlegung in derartigen Fällen ist die Zurückstellung überwiegender Interessen anderer Beteiligter durch den Versuch, sich der freiwillig übernommenen Verantwortung für die Gesellschaft (§ 43 GmbHG) und aller weiteren Pflichten zu entledigen, die besonders in wirtschaftlichen schwierigen Situationen der Gesellschaft an das Amt des Geschäftsführer geknüpft sind. </w:t>
      </w:r>
    </w:p>
    <w:p w:rsidR="00066E76" w:rsidRDefault="00066E76" w:rsidP="00066E76">
      <w:pPr>
        <w:ind w:left="2832"/>
        <w:jc w:val="both"/>
        <w:rPr>
          <w:sz w:val="16"/>
        </w:rPr>
      </w:pPr>
    </w:p>
    <w:p w:rsidR="00066E76" w:rsidRDefault="00066E76" w:rsidP="00066E76">
      <w:pPr>
        <w:ind w:left="2832"/>
        <w:jc w:val="both"/>
      </w:pPr>
      <w:r>
        <w:t>Diese Grundsätze können auch für die vorliegende Konstellation der Amtsniederlegung durch die Mehrheitsgesellschafterin Geltung beanspruchen. Die Annahme eines Rechtsmissbrauchs einer Amtsbeendigung setzt nicht zwingend die Stellung des Geschäftsführers als Alleingesellschafter voraus. Auch bei einer Mehrpersonen-GmbH kann eine Amtsniederlegung des Alleingeschäftsführers in gleicher Weise zu einer Handlungsunfähigkeit der Gesellschaft führen (OLG Köln, Beck RS 2008, 04582).</w:t>
      </w:r>
    </w:p>
    <w:p w:rsidR="00066E76" w:rsidRDefault="00066E76" w:rsidP="00066E76">
      <w:pPr>
        <w:ind w:left="2832"/>
        <w:jc w:val="both"/>
      </w:pPr>
    </w:p>
    <w:p w:rsidR="00066E76" w:rsidRPr="00556404" w:rsidRDefault="00066E76" w:rsidP="00066E76">
      <w:pPr>
        <w:ind w:left="2832"/>
        <w:jc w:val="both"/>
        <w:rPr>
          <w:b/>
        </w:rPr>
      </w:pPr>
      <w:r w:rsidRPr="00556404">
        <w:rPr>
          <w:b/>
        </w:rPr>
        <w:t xml:space="preserve">Exkurs: </w:t>
      </w:r>
    </w:p>
    <w:p w:rsidR="00556404" w:rsidRDefault="00556404" w:rsidP="00066E76">
      <w:pPr>
        <w:ind w:left="2832"/>
        <w:jc w:val="both"/>
      </w:pPr>
    </w:p>
    <w:p w:rsidR="00556404" w:rsidRPr="00556404" w:rsidRDefault="00556404" w:rsidP="00556404">
      <w:pPr>
        <w:autoSpaceDE w:val="0"/>
        <w:autoSpaceDN w:val="0"/>
        <w:adjustRightInd w:val="0"/>
        <w:ind w:left="2832"/>
        <w:jc w:val="both"/>
        <w:rPr>
          <w:szCs w:val="24"/>
        </w:rPr>
      </w:pPr>
      <w:r w:rsidRPr="00556404">
        <w:rPr>
          <w:szCs w:val="24"/>
        </w:rPr>
        <w:t xml:space="preserve">§ 1 InsO: </w:t>
      </w:r>
      <w:r w:rsidRPr="00556404">
        <w:rPr>
          <w:rFonts w:eastAsia="Times New Roman"/>
          <w:szCs w:val="24"/>
          <w:lang w:eastAsia="de-DE"/>
        </w:rPr>
        <w:t>Das Insolvenzverfahren dient dazu, die Gläubiger eines Schuldners gemeinschaftlich zu befriedigen, indem</w:t>
      </w:r>
      <w:r>
        <w:rPr>
          <w:rFonts w:eastAsia="Times New Roman"/>
          <w:szCs w:val="24"/>
          <w:lang w:eastAsia="de-DE"/>
        </w:rPr>
        <w:t xml:space="preserve"> </w:t>
      </w:r>
      <w:r w:rsidRPr="00556404">
        <w:rPr>
          <w:rFonts w:eastAsia="Times New Roman"/>
          <w:szCs w:val="24"/>
          <w:lang w:eastAsia="de-DE"/>
        </w:rPr>
        <w:t xml:space="preserve">das Vermögen des Schuldners verwertet und der Erlös </w:t>
      </w:r>
      <w:r w:rsidR="00E74F22">
        <w:rPr>
          <w:rFonts w:eastAsia="Times New Roman"/>
          <w:szCs w:val="24"/>
          <w:lang w:eastAsia="de-DE"/>
        </w:rPr>
        <w:t xml:space="preserve">möglichst gerecht entsprechend einem festgelegten prozentualen Anteil </w:t>
      </w:r>
      <w:r w:rsidRPr="00556404">
        <w:rPr>
          <w:rFonts w:eastAsia="Times New Roman"/>
          <w:szCs w:val="24"/>
          <w:lang w:eastAsia="de-DE"/>
        </w:rPr>
        <w:t xml:space="preserve">verteilt </w:t>
      </w:r>
      <w:r w:rsidR="00E74F22">
        <w:rPr>
          <w:rFonts w:eastAsia="Times New Roman"/>
          <w:szCs w:val="24"/>
          <w:lang w:eastAsia="de-DE"/>
        </w:rPr>
        <w:t xml:space="preserve">wird (anders als nach dem Prioritätsgrundsatz des § 804 Abs. 3 ZPO). </w:t>
      </w:r>
      <w:r w:rsidRPr="00556404">
        <w:rPr>
          <w:rFonts w:eastAsia="Times New Roman"/>
          <w:szCs w:val="24"/>
          <w:lang w:eastAsia="de-DE"/>
        </w:rPr>
        <w:t>Dem redlichen Schuldner wird Gelegenheit gegeben, sich von seinen restlichen Verbindlichkeiten zu befreien.</w:t>
      </w:r>
    </w:p>
    <w:p w:rsidR="00556404" w:rsidRDefault="00556404" w:rsidP="00066E76">
      <w:pPr>
        <w:ind w:left="2832"/>
        <w:jc w:val="both"/>
      </w:pPr>
    </w:p>
    <w:p w:rsidR="00556404" w:rsidRPr="00556404" w:rsidRDefault="00556404" w:rsidP="00556404">
      <w:pPr>
        <w:autoSpaceDE w:val="0"/>
        <w:autoSpaceDN w:val="0"/>
        <w:adjustRightInd w:val="0"/>
        <w:ind w:left="2832"/>
        <w:jc w:val="both"/>
        <w:rPr>
          <w:szCs w:val="24"/>
        </w:rPr>
      </w:pPr>
      <w:r w:rsidRPr="00556404">
        <w:rPr>
          <w:szCs w:val="24"/>
        </w:rPr>
        <w:lastRenderedPageBreak/>
        <w:t xml:space="preserve">§ 15 a </w:t>
      </w:r>
      <w:r>
        <w:rPr>
          <w:szCs w:val="24"/>
        </w:rPr>
        <w:t xml:space="preserve">Abs. 1 </w:t>
      </w:r>
      <w:r w:rsidRPr="00556404">
        <w:rPr>
          <w:szCs w:val="24"/>
        </w:rPr>
        <w:t xml:space="preserve">InsO: </w:t>
      </w:r>
      <w:r w:rsidRPr="00556404">
        <w:rPr>
          <w:rFonts w:eastAsia="Times New Roman"/>
          <w:szCs w:val="24"/>
          <w:lang w:eastAsia="de-DE"/>
        </w:rPr>
        <w:t>Wird eine juristische Person zahlungsunfähig oder überschuldet, haben die Mitglieder des Vertretungsorgans</w:t>
      </w:r>
      <w:r>
        <w:rPr>
          <w:rFonts w:eastAsia="Times New Roman"/>
          <w:szCs w:val="24"/>
          <w:lang w:eastAsia="de-DE"/>
        </w:rPr>
        <w:t xml:space="preserve"> </w:t>
      </w:r>
      <w:r w:rsidRPr="00556404">
        <w:rPr>
          <w:rFonts w:eastAsia="Times New Roman"/>
          <w:szCs w:val="24"/>
          <w:lang w:eastAsia="de-DE"/>
        </w:rPr>
        <w:t>oder die Abwickler ohne schuldhaftes Zögern, spätestens aber drei Wochen nach Eintritt der Zahlungsunfähigkeit</w:t>
      </w:r>
      <w:r>
        <w:rPr>
          <w:rFonts w:eastAsia="Times New Roman"/>
          <w:szCs w:val="24"/>
          <w:lang w:eastAsia="de-DE"/>
        </w:rPr>
        <w:t xml:space="preserve"> </w:t>
      </w:r>
      <w:r w:rsidRPr="00556404">
        <w:rPr>
          <w:rFonts w:eastAsia="Times New Roman"/>
          <w:szCs w:val="24"/>
          <w:lang w:eastAsia="de-DE"/>
        </w:rPr>
        <w:t>oder Überschuldung, einen Eröffnungsantrag zu stellen.</w:t>
      </w:r>
      <w:r>
        <w:rPr>
          <w:rFonts w:eastAsia="Times New Roman"/>
          <w:szCs w:val="24"/>
          <w:lang w:eastAsia="de-DE"/>
        </w:rPr>
        <w:t xml:space="preserve"> …</w:t>
      </w:r>
    </w:p>
    <w:p w:rsidR="00556404" w:rsidRDefault="00556404" w:rsidP="00066E76">
      <w:pPr>
        <w:ind w:left="2832"/>
        <w:jc w:val="both"/>
      </w:pPr>
    </w:p>
    <w:p w:rsidR="00066E76" w:rsidRDefault="00066E76" w:rsidP="00066E76">
      <w:pPr>
        <w:ind w:left="2832"/>
        <w:jc w:val="both"/>
      </w:pPr>
      <w:r>
        <w:t xml:space="preserve">§ 17 Abs. 2 InsO: Der Schuldner ist zahlungsunfähig, wenn er nicht in der Lage ist, die fälligen Zahlungspflichten zu erfüllen. </w:t>
      </w:r>
    </w:p>
    <w:p w:rsidR="00556404" w:rsidRDefault="00556404" w:rsidP="00066E76">
      <w:pPr>
        <w:ind w:left="2832"/>
        <w:jc w:val="both"/>
      </w:pPr>
    </w:p>
    <w:p w:rsidR="00066E76" w:rsidRDefault="00066E76" w:rsidP="00066E76">
      <w:pPr>
        <w:ind w:left="2832"/>
        <w:jc w:val="both"/>
      </w:pPr>
      <w:r>
        <w:t>§ 19 Abs. 2 InsO: Überschuldung lie</w:t>
      </w:r>
      <w:r w:rsidR="00E750BB">
        <w:t>g</w:t>
      </w:r>
      <w:r>
        <w:t>t vor, wenn das Vermögen des Schuldners die bestehenden Verbindlichkeiten nicht mehr deckt, es sei denn, die Fortführung des Unternehmens ist nach den Umständen überwiegend wahrscheinlich.</w:t>
      </w:r>
    </w:p>
    <w:p w:rsidR="00A00B17" w:rsidRDefault="00A00B17" w:rsidP="00066E76">
      <w:pPr>
        <w:ind w:left="2832"/>
        <w:jc w:val="both"/>
      </w:pPr>
    </w:p>
    <w:p w:rsidR="00066E76" w:rsidRPr="003C2EBB" w:rsidRDefault="00066E76" w:rsidP="00066E76">
      <w:pPr>
        <w:ind w:left="2832"/>
        <w:rPr>
          <w:b/>
        </w:rPr>
      </w:pPr>
      <w:r w:rsidRPr="003C2EBB">
        <w:rPr>
          <w:b/>
        </w:rPr>
        <w:t xml:space="preserve">Fall </w:t>
      </w:r>
      <w:r w:rsidR="00A00B17">
        <w:rPr>
          <w:b/>
        </w:rPr>
        <w:t>7</w:t>
      </w:r>
      <w:r w:rsidRPr="003C2EBB">
        <w:rPr>
          <w:b/>
        </w:rPr>
        <w:t>:</w:t>
      </w:r>
    </w:p>
    <w:p w:rsidR="00066E76" w:rsidRDefault="00066E76" w:rsidP="00066E76">
      <w:pPr>
        <w:ind w:left="2832"/>
        <w:jc w:val="both"/>
      </w:pPr>
    </w:p>
    <w:p w:rsidR="00066E76" w:rsidRDefault="00066E76" w:rsidP="00066E76">
      <w:pPr>
        <w:ind w:left="2832"/>
        <w:jc w:val="both"/>
      </w:pPr>
      <w:r>
        <w:t>Der Geschäftsführer einer GmbH führte nach Eintritt der Insolvenzreife rückständige Steuern an das Finanzamt und Sozialversicherungsbeiträge an die AOK ab. Der Insolvenzverwalter verklagt den Geschäftsführer persönlich auf Erstattung sämtlicher Zahlungen an das Finanzamt und die AOK nach § 64 Satz 1 GmbHG. Wie ist die Rechtslage?</w:t>
      </w:r>
    </w:p>
    <w:p w:rsidR="00066E76" w:rsidRDefault="00066E76" w:rsidP="00066E76">
      <w:pPr>
        <w:ind w:left="2832"/>
        <w:jc w:val="both"/>
      </w:pPr>
    </w:p>
    <w:p w:rsidR="00066E76" w:rsidRDefault="00066E76" w:rsidP="00066E76">
      <w:pPr>
        <w:ind w:left="2832"/>
        <w:jc w:val="both"/>
      </w:pPr>
      <w:r>
        <w:t>Im Hinblick auf die abgeführten Steuern ist die Klage unbegründet. Wenn der Geschäftsführer fällige Umsatzsteuer, Umsatzsteuervorauszahlungen oder einbehaltene Lohnsteuer nicht an das Finanzamt abführt, begeht er eine Ordnungswidrigkeit nach den § 26 b UStG, § 380 AO, §§ 41 a Abs. 1, 38 Abs. 3 EStG und macht sich außerdem hierfür persönlich haftbar nach den §§ 69, 34 Abs. 1 AO. Im Verhältnis zum Zahlungsverbot des § 64 Satz 1 GmbHG sieht sich der Geschäftsführer mithin einer Pflichtenkollision ausgesetzt. Diese löst die Rechtsprechung dahingehend auf, dass der Geschäftsführer die Zahlung von Umsatz- und Lohnsteuer nach Eintritt der Insolvenzreife als mit der Sorgfalt eines ordentlichen Geschäftsmannes</w:t>
      </w:r>
      <w:r w:rsidR="00156664">
        <w:t xml:space="preserve"> vereinbar ansieht, § 64 Satz 2 </w:t>
      </w:r>
      <w:r>
        <w:t xml:space="preserve">GmbHG. </w:t>
      </w:r>
    </w:p>
    <w:p w:rsidR="00066E76" w:rsidRDefault="00066E76" w:rsidP="00066E76">
      <w:pPr>
        <w:ind w:left="2832"/>
        <w:jc w:val="both"/>
      </w:pPr>
    </w:p>
    <w:p w:rsidR="00066E76" w:rsidRDefault="00066E76" w:rsidP="00066E76">
      <w:pPr>
        <w:ind w:left="2832"/>
        <w:jc w:val="both"/>
      </w:pPr>
      <w:r>
        <w:t>Im Hinblick auf die gezahlten Sozialversicherungsbeiträge ist zu prüfen, ob es sich bei den an die AOK geleisteten Zahlungen um Arbeitgeber- oder um Arbeitnehmerbeiträge zur Sozialversicherung handelt. Nur die Nichtabführung von Arbeitnehmerbeiträgen ist gem. §§ 266 a StGB strafbewährt und nur insoweit besteht gegebenenfalls eine Pflichtenkollision des Geschäftsführers. Hinsichtlich fälliger Arbeitgeberbeiträge besteht eine solche Pflichtenkollision nicht, weshalb deren Abführung nach Insolvenzreife zur persönlichen Erstattungspflicht nach § 64 Satz 1 GmbHG führt (BGH NJW 2007, 2118 sowie 2009, 2599).</w:t>
      </w:r>
    </w:p>
    <w:p w:rsidR="00066E76" w:rsidRDefault="00066E76" w:rsidP="00066E76">
      <w:pPr>
        <w:ind w:left="2832"/>
        <w:jc w:val="both"/>
      </w:pPr>
    </w:p>
    <w:p w:rsidR="00E750BB" w:rsidRPr="00E750BB" w:rsidRDefault="00E750BB" w:rsidP="00E750BB">
      <w:pPr>
        <w:ind w:left="2832"/>
        <w:jc w:val="both"/>
        <w:rPr>
          <w:b/>
          <w:bCs/>
          <w:i/>
        </w:rPr>
      </w:pPr>
      <w:r>
        <w:rPr>
          <w:b/>
          <w:bCs/>
          <w:i/>
        </w:rPr>
        <w:lastRenderedPageBreak/>
        <w:t>§ </w:t>
      </w:r>
      <w:r w:rsidRPr="00E750BB">
        <w:rPr>
          <w:b/>
          <w:bCs/>
          <w:i/>
        </w:rPr>
        <w:t>64 </w:t>
      </w:r>
      <w:r>
        <w:rPr>
          <w:b/>
          <w:bCs/>
          <w:i/>
        </w:rPr>
        <w:t>GmbHG (</w:t>
      </w:r>
      <w:r w:rsidRPr="00E750BB">
        <w:rPr>
          <w:b/>
          <w:bCs/>
          <w:i/>
        </w:rPr>
        <w:t>Haftung für Zahlungen nach Zahlungsunfähigkeit oder Überschuldung</w:t>
      </w:r>
      <w:r>
        <w:rPr>
          <w:b/>
          <w:bCs/>
          <w:i/>
        </w:rPr>
        <w:t>)</w:t>
      </w:r>
    </w:p>
    <w:p w:rsidR="00E750BB" w:rsidRPr="00E750BB" w:rsidRDefault="00E750BB" w:rsidP="00E750BB">
      <w:pPr>
        <w:ind w:left="2832"/>
        <w:jc w:val="both"/>
        <w:rPr>
          <w:i/>
        </w:rPr>
      </w:pPr>
      <w:r w:rsidRPr="00E750BB">
        <w:rPr>
          <w:i/>
        </w:rPr>
        <w:t>Die Geschäftsführer sind der Gesellschaft zum Ersatz von Zahlungen verpflichtet, die nach Eintritt der Zahlungsunfähigkeit der Gesellschaft oder nach Feststellung ihrer Überschuldung geleistet werden. Dies gilt nicht von Zahlungen, die auch nach diesem Zeitpunkt mit der Sorgfalt eines ordentlichen Geschäftsmanns vereinbar sind. Die gleiche Verpflichtung trifft die Geschäftsführer für Zahlungen an Gesellschafter, soweit diese zur Zahlungsunfähigkeit der Gesellschaft führen mussten, es sei denn, dies war auch bei Beachtung der in Satz 2 bezeichneten Sorgfalt nicht erkennbar. Auf den Ersatzanspruch finden die Bestimmungen in § 43 Abs. 3 und 4 entsprechende Anwendung.</w:t>
      </w:r>
    </w:p>
    <w:p w:rsidR="00E750BB" w:rsidRDefault="00E750BB" w:rsidP="00066E76">
      <w:pPr>
        <w:ind w:left="2832"/>
        <w:jc w:val="both"/>
      </w:pPr>
    </w:p>
    <w:p w:rsidR="00066E76" w:rsidRPr="00584A4B" w:rsidRDefault="00066E76" w:rsidP="00066E76">
      <w:pPr>
        <w:ind w:left="2832"/>
        <w:jc w:val="both"/>
        <w:rPr>
          <w:b/>
          <w:i/>
        </w:rPr>
      </w:pPr>
      <w:r w:rsidRPr="00584A4B">
        <w:rPr>
          <w:b/>
          <w:i/>
        </w:rPr>
        <w:t>§ 266a StGB (Vorenthalten und Veruntreuen von Arbeitsentgelt)</w:t>
      </w:r>
    </w:p>
    <w:p w:rsidR="00066E76" w:rsidRPr="00584A4B" w:rsidRDefault="00066E76" w:rsidP="00066E76">
      <w:pPr>
        <w:ind w:left="2832"/>
        <w:jc w:val="both"/>
        <w:rPr>
          <w:i/>
        </w:rPr>
      </w:pPr>
      <w:r w:rsidRPr="00584A4B">
        <w:rPr>
          <w:i/>
        </w:rPr>
        <w:t>(1) Wer als Arbeitgeber der Einzugsstelle Beiträge des Arbeitnehmers zur Sozialversicherung einschließlich der</w:t>
      </w:r>
      <w:r>
        <w:rPr>
          <w:i/>
        </w:rPr>
        <w:t xml:space="preserve"> </w:t>
      </w:r>
      <w:r w:rsidRPr="00584A4B">
        <w:rPr>
          <w:i/>
        </w:rPr>
        <w:t>Arbeitsförderung, unabhängig davon, ob Arbeitsentgelt gezahlt wird, vorenthält, wird mit Freiheitsstrafe bis zu</w:t>
      </w:r>
      <w:r>
        <w:rPr>
          <w:i/>
        </w:rPr>
        <w:t xml:space="preserve"> </w:t>
      </w:r>
      <w:r w:rsidRPr="00584A4B">
        <w:rPr>
          <w:i/>
        </w:rPr>
        <w:t>fünf Jahren oder mit Geldstrafe bestraft.</w:t>
      </w:r>
    </w:p>
    <w:p w:rsidR="00066E76" w:rsidRPr="00584A4B" w:rsidRDefault="00066E76" w:rsidP="00066E76">
      <w:pPr>
        <w:ind w:left="2832"/>
        <w:jc w:val="both"/>
        <w:rPr>
          <w:i/>
        </w:rPr>
      </w:pPr>
      <w:r w:rsidRPr="00584A4B">
        <w:rPr>
          <w:i/>
        </w:rPr>
        <w:t>(2) Ebenso wird bestraft, wer als Arbeitgeber</w:t>
      </w:r>
    </w:p>
    <w:p w:rsidR="00066E76" w:rsidRPr="00584A4B" w:rsidRDefault="00066E76" w:rsidP="00066E76">
      <w:pPr>
        <w:ind w:left="2832"/>
        <w:jc w:val="both"/>
        <w:rPr>
          <w:i/>
        </w:rPr>
      </w:pPr>
      <w:r w:rsidRPr="00584A4B">
        <w:rPr>
          <w:i/>
        </w:rPr>
        <w:t>1.  der für den Einzug der Beiträge zuständigen Stelle über sozialversicherungsrechtlich erhebliche Tatsachen</w:t>
      </w:r>
      <w:r>
        <w:rPr>
          <w:i/>
        </w:rPr>
        <w:t xml:space="preserve"> </w:t>
      </w:r>
      <w:r w:rsidRPr="00584A4B">
        <w:rPr>
          <w:i/>
        </w:rPr>
        <w:t>unrichtige oder unvollständige Angaben macht oder</w:t>
      </w:r>
    </w:p>
    <w:p w:rsidR="002A6C4C" w:rsidRDefault="00066E76" w:rsidP="00066E76">
      <w:pPr>
        <w:ind w:left="2832"/>
        <w:jc w:val="both"/>
        <w:rPr>
          <w:i/>
        </w:rPr>
      </w:pPr>
      <w:r w:rsidRPr="00584A4B">
        <w:rPr>
          <w:i/>
        </w:rPr>
        <w:t>2.  die für den Einzug der Beiträge zuständige Stelle pflichtwidrig über sozialversicherungsrechtlich erhebliche</w:t>
      </w:r>
      <w:r>
        <w:rPr>
          <w:i/>
        </w:rPr>
        <w:t xml:space="preserve"> </w:t>
      </w:r>
      <w:r w:rsidRPr="00584A4B">
        <w:rPr>
          <w:i/>
        </w:rPr>
        <w:t>Tatsachen in Unkenntnis lässt</w:t>
      </w:r>
      <w:r>
        <w:rPr>
          <w:i/>
        </w:rPr>
        <w:t xml:space="preserve"> </w:t>
      </w:r>
      <w:r w:rsidRPr="00584A4B">
        <w:rPr>
          <w:i/>
        </w:rPr>
        <w:t xml:space="preserve">und dadurch </w:t>
      </w:r>
      <w:r w:rsidR="002A6C4C">
        <w:rPr>
          <w:i/>
        </w:rPr>
        <w:t xml:space="preserve">… </w:t>
      </w:r>
    </w:p>
    <w:p w:rsidR="002A6C4C" w:rsidRPr="002A6C4C" w:rsidRDefault="002A6C4C" w:rsidP="00841D00">
      <w:pPr>
        <w:ind w:left="2832"/>
        <w:jc w:val="both"/>
      </w:pPr>
    </w:p>
    <w:p w:rsidR="002A6C4C" w:rsidRPr="002A6C4C" w:rsidRDefault="002A6C4C" w:rsidP="00841D00">
      <w:pPr>
        <w:ind w:left="2832"/>
        <w:jc w:val="both"/>
      </w:pPr>
    </w:p>
    <w:p w:rsidR="003C2EBB" w:rsidRPr="003C2EBB" w:rsidRDefault="003C2EBB" w:rsidP="00841D00">
      <w:pPr>
        <w:ind w:left="2832"/>
        <w:jc w:val="both"/>
        <w:rPr>
          <w:b/>
          <w:u w:val="single"/>
        </w:rPr>
      </w:pPr>
      <w:r w:rsidRPr="003C2EBB">
        <w:rPr>
          <w:b/>
          <w:u w:val="single"/>
        </w:rPr>
        <w:t>Zum Eigenstudium:</w:t>
      </w:r>
    </w:p>
    <w:p w:rsidR="004B3E64" w:rsidRDefault="004B3E64" w:rsidP="004B3E64">
      <w:pPr>
        <w:ind w:left="2832"/>
        <w:rPr>
          <w:b/>
        </w:rPr>
      </w:pPr>
    </w:p>
    <w:p w:rsidR="004B3E64" w:rsidRPr="00EC658F" w:rsidRDefault="004B3E64" w:rsidP="004B3E64">
      <w:pPr>
        <w:ind w:left="2832"/>
        <w:rPr>
          <w:b/>
        </w:rPr>
      </w:pPr>
      <w:r w:rsidRPr="00EC658F">
        <w:rPr>
          <w:b/>
        </w:rPr>
        <w:t xml:space="preserve">Fall </w:t>
      </w:r>
      <w:r w:rsidR="00A00B17">
        <w:rPr>
          <w:b/>
        </w:rPr>
        <w:t>8</w:t>
      </w:r>
      <w:r w:rsidRPr="00EC658F">
        <w:rPr>
          <w:b/>
        </w:rPr>
        <w:t>:</w:t>
      </w:r>
    </w:p>
    <w:p w:rsidR="004B3E64" w:rsidRDefault="004B3E64" w:rsidP="004B3E64">
      <w:pPr>
        <w:ind w:left="2832"/>
        <w:jc w:val="both"/>
      </w:pPr>
    </w:p>
    <w:p w:rsidR="004B3E64" w:rsidRDefault="004B3E64" w:rsidP="004B3E64">
      <w:pPr>
        <w:ind w:left="2832"/>
        <w:jc w:val="both"/>
      </w:pPr>
      <w:r>
        <w:t>A ist als Vorstandsmitglied zuständig für den gesamten Bereich der Medizintechnik der S AG. A wird überführt, in den Jahren 2005 bis 2009 im erheblichen Umfang Schmiergelder im Ausland für den Verkauf von Medizintechnik gezahlt zu haben. Dies ist nach § 299 StGB und nach den Grundlagen des internationalen Wirtschaftsrechts unzulässig. Die S AG, die unter anderem an der New Yorker Börse gelistet ist, wird deshalb zu einer Geldstrafe in Höhe von 50 Mio. Dollar verurteilt. Die S AG will prüfen, ob sie Schadenersatzansprüche gegen A geltend machen kann und beruft sich auf § 93 Abs. 2 AktG. Bitte prüfen Sie, ob ein Schadenersatzanspruch besteht und wer ihn für die AG gegen A geltend machen müsste. (vgl. Vertretung der Gesellschaft gegenüber Vorstandsmitgliedern, § 112 AktG)</w:t>
      </w:r>
    </w:p>
    <w:p w:rsidR="004B3E64" w:rsidRDefault="004B3E64" w:rsidP="004B3E64">
      <w:pPr>
        <w:ind w:left="2832"/>
        <w:jc w:val="both"/>
      </w:pPr>
    </w:p>
    <w:p w:rsidR="00A00B17" w:rsidRDefault="00A00B17" w:rsidP="004B3E64">
      <w:pPr>
        <w:ind w:left="2832"/>
        <w:jc w:val="both"/>
      </w:pPr>
    </w:p>
    <w:p w:rsidR="004B3E64" w:rsidRPr="00EC658F" w:rsidRDefault="004B3E64" w:rsidP="004B3E64">
      <w:pPr>
        <w:ind w:left="2832"/>
        <w:jc w:val="both"/>
        <w:rPr>
          <w:b/>
          <w:i/>
        </w:rPr>
      </w:pPr>
      <w:r w:rsidRPr="00EC658F">
        <w:rPr>
          <w:b/>
          <w:i/>
        </w:rPr>
        <w:lastRenderedPageBreak/>
        <w:t>§ 76 AktG (Leitung der Aktiengesellschaft)</w:t>
      </w:r>
    </w:p>
    <w:p w:rsidR="004B3E64" w:rsidRDefault="004B3E64" w:rsidP="004B3E64">
      <w:pPr>
        <w:ind w:left="2832"/>
        <w:jc w:val="both"/>
        <w:rPr>
          <w:i/>
        </w:rPr>
      </w:pPr>
      <w:r w:rsidRPr="00EC658F">
        <w:rPr>
          <w:i/>
        </w:rPr>
        <w:t>(1) Der Vorstand hat unter eigener Verantwortung die Gesellschaft zu leiten.</w:t>
      </w:r>
      <w:r>
        <w:rPr>
          <w:i/>
        </w:rPr>
        <w:t xml:space="preserve"> </w:t>
      </w:r>
    </w:p>
    <w:p w:rsidR="004B3E64" w:rsidRPr="00EC658F" w:rsidRDefault="004B3E64" w:rsidP="004B3E64">
      <w:pPr>
        <w:ind w:left="2832"/>
        <w:jc w:val="both"/>
        <w:rPr>
          <w:i/>
        </w:rPr>
      </w:pPr>
      <w:r>
        <w:rPr>
          <w:i/>
        </w:rPr>
        <w:t>…</w:t>
      </w:r>
    </w:p>
    <w:p w:rsidR="004B3E64" w:rsidRDefault="004B3E64" w:rsidP="004B3E64">
      <w:pPr>
        <w:ind w:left="2832"/>
        <w:jc w:val="both"/>
      </w:pPr>
    </w:p>
    <w:p w:rsidR="004B3E64" w:rsidRPr="00EC658F" w:rsidRDefault="004B3E64" w:rsidP="004B3E64">
      <w:pPr>
        <w:ind w:left="2832"/>
        <w:jc w:val="both"/>
        <w:rPr>
          <w:b/>
          <w:i/>
        </w:rPr>
      </w:pPr>
      <w:r w:rsidRPr="00EC658F">
        <w:rPr>
          <w:b/>
          <w:i/>
        </w:rPr>
        <w:t>§ 93 Abs. 2 AktG (Sorgfaltspflicht und Verantwortlichkeit der Vorstandsmitglieder)</w:t>
      </w:r>
    </w:p>
    <w:p w:rsidR="004B3E64" w:rsidRPr="00EC658F" w:rsidRDefault="004B3E64" w:rsidP="004B3E64">
      <w:pPr>
        <w:ind w:left="2832"/>
        <w:jc w:val="both"/>
        <w:rPr>
          <w:i/>
        </w:rPr>
      </w:pPr>
      <w:r w:rsidRPr="00EC658F">
        <w:rPr>
          <w:i/>
        </w:rPr>
        <w:t>…</w:t>
      </w:r>
    </w:p>
    <w:p w:rsidR="004B3E64" w:rsidRDefault="004B3E64" w:rsidP="004B3E64">
      <w:pPr>
        <w:ind w:left="2832"/>
        <w:jc w:val="both"/>
        <w:rPr>
          <w:i/>
        </w:rPr>
      </w:pPr>
      <w:r w:rsidRPr="00EC658F">
        <w:rPr>
          <w:i/>
        </w:rPr>
        <w:t xml:space="preserve">(2) Vorstandsmitglieder, die ihre Pflichten verletzen, sind der Gesellschaft zum Ersatz des daraus entstehenden Schadens als Gesamtschuldner verpflichtet. Ist streitig, ob sie die Sorgfalt eines ordentlichen und gewissenhaften Geschäftsleiters angewandt haben, so trifft sie die Beweislast. </w:t>
      </w:r>
      <w:r>
        <w:rPr>
          <w:i/>
        </w:rPr>
        <w:t>..</w:t>
      </w:r>
      <w:r w:rsidRPr="00EC658F">
        <w:rPr>
          <w:i/>
        </w:rPr>
        <w:t>.</w:t>
      </w:r>
    </w:p>
    <w:p w:rsidR="004B3E64" w:rsidRDefault="004B3E64" w:rsidP="004B3E64">
      <w:pPr>
        <w:ind w:left="2832"/>
        <w:jc w:val="both"/>
        <w:rPr>
          <w:i/>
        </w:rPr>
      </w:pPr>
      <w:r>
        <w:rPr>
          <w:i/>
        </w:rPr>
        <w:t>…</w:t>
      </w:r>
    </w:p>
    <w:p w:rsidR="004B3E64" w:rsidRPr="00EC658F" w:rsidRDefault="004B3E64" w:rsidP="004B3E64">
      <w:pPr>
        <w:ind w:left="2832"/>
        <w:jc w:val="both"/>
        <w:rPr>
          <w:i/>
        </w:rPr>
      </w:pPr>
      <w:r>
        <w:rPr>
          <w:i/>
        </w:rPr>
        <w:t xml:space="preserve">(4) Der Gesellschaft gegenüber tritt die Ersatzpflicht nicht ein, wenn die Handlung auf einem gesetzmäßigen Beschluss der Hauptversammlung beruht. Dadurch, dass der Aufsichtsrat die Handlung gebilligt hat, wird die Ersatzpflicht nicht ausgeschlossen. </w:t>
      </w:r>
    </w:p>
    <w:p w:rsidR="004B3E64" w:rsidRDefault="004B3E64" w:rsidP="004B3E64">
      <w:pPr>
        <w:ind w:left="2832"/>
        <w:jc w:val="both"/>
      </w:pPr>
    </w:p>
    <w:p w:rsidR="004B3E64" w:rsidRPr="006C5890" w:rsidRDefault="004B3E64" w:rsidP="004B3E64">
      <w:pPr>
        <w:ind w:left="2832"/>
        <w:jc w:val="both"/>
        <w:rPr>
          <w:b/>
          <w:i/>
        </w:rPr>
      </w:pPr>
      <w:r w:rsidRPr="006C5890">
        <w:rPr>
          <w:b/>
          <w:i/>
        </w:rPr>
        <w:t>§ 112 AktG (Vertretung der Gesellschaft gegenüber Vorstandsmitgliedern)</w:t>
      </w:r>
    </w:p>
    <w:p w:rsidR="004B3E64" w:rsidRPr="00A00B17" w:rsidRDefault="004B3E64" w:rsidP="004B3E64">
      <w:pPr>
        <w:ind w:left="2832"/>
        <w:jc w:val="both"/>
        <w:rPr>
          <w:i/>
          <w:szCs w:val="24"/>
        </w:rPr>
      </w:pPr>
      <w:r w:rsidRPr="006C5890">
        <w:rPr>
          <w:i/>
        </w:rPr>
        <w:t xml:space="preserve">Vorstandsmitgliedern gegenüber vertritt der Aufsichtsrat die </w:t>
      </w:r>
      <w:r w:rsidRPr="00A00B17">
        <w:rPr>
          <w:i/>
          <w:szCs w:val="24"/>
        </w:rPr>
        <w:t>Gesellschaft gerichtlich und außergerichtlich. § 78 Abs. 2 Satz 2 gilt entsprechend.</w:t>
      </w:r>
    </w:p>
    <w:p w:rsidR="004B3E64" w:rsidRPr="00A00B17" w:rsidRDefault="004B3E64" w:rsidP="004B3E64">
      <w:pPr>
        <w:ind w:left="2832"/>
        <w:jc w:val="both"/>
        <w:rPr>
          <w:szCs w:val="24"/>
        </w:rPr>
      </w:pPr>
    </w:p>
    <w:p w:rsidR="004B3E64" w:rsidRPr="00A00B17" w:rsidRDefault="004B3E64" w:rsidP="004B3E64">
      <w:pPr>
        <w:ind w:left="2832"/>
        <w:jc w:val="both"/>
        <w:rPr>
          <w:szCs w:val="24"/>
        </w:rPr>
      </w:pPr>
      <w:r w:rsidRPr="00A00B17">
        <w:rPr>
          <w:szCs w:val="24"/>
        </w:rPr>
        <w:t>(Vgl. zu den entsprechenden Regelungen über die Haftung der Vorstände von Genossenschaften nach § 34 Abs. 2 u. 4 GenG)</w:t>
      </w:r>
    </w:p>
    <w:p w:rsidR="00156664" w:rsidRPr="00A00B17" w:rsidRDefault="00156664" w:rsidP="00841D00">
      <w:pPr>
        <w:ind w:left="2832"/>
        <w:jc w:val="both"/>
        <w:rPr>
          <w:szCs w:val="24"/>
        </w:rPr>
      </w:pPr>
    </w:p>
    <w:p w:rsidR="003337AA" w:rsidRPr="00A00B17" w:rsidRDefault="003337AA" w:rsidP="00841D00">
      <w:pPr>
        <w:ind w:left="2832"/>
        <w:rPr>
          <w:b/>
          <w:szCs w:val="24"/>
        </w:rPr>
      </w:pPr>
      <w:r w:rsidRPr="00A00B17">
        <w:rPr>
          <w:b/>
          <w:szCs w:val="24"/>
        </w:rPr>
        <w:t xml:space="preserve">Fall </w:t>
      </w:r>
      <w:r w:rsidR="00A00B17" w:rsidRPr="00A00B17">
        <w:rPr>
          <w:b/>
          <w:szCs w:val="24"/>
        </w:rPr>
        <w:t>9</w:t>
      </w:r>
      <w:r w:rsidRPr="00A00B17">
        <w:rPr>
          <w:b/>
          <w:szCs w:val="24"/>
        </w:rPr>
        <w:t>:</w:t>
      </w:r>
    </w:p>
    <w:p w:rsidR="003337AA" w:rsidRPr="00A00B17" w:rsidRDefault="003337AA" w:rsidP="00841D00">
      <w:pPr>
        <w:ind w:left="2832"/>
        <w:jc w:val="both"/>
        <w:rPr>
          <w:szCs w:val="24"/>
        </w:rPr>
      </w:pPr>
    </w:p>
    <w:p w:rsidR="003337AA" w:rsidRPr="00A00B17" w:rsidRDefault="003337AA" w:rsidP="00841D00">
      <w:pPr>
        <w:ind w:left="2832"/>
        <w:jc w:val="both"/>
        <w:rPr>
          <w:szCs w:val="24"/>
        </w:rPr>
      </w:pPr>
      <w:r w:rsidRPr="00A00B17">
        <w:rPr>
          <w:szCs w:val="24"/>
        </w:rPr>
        <w:t>B ist als Aktionär an der D Aktienbrauerei AG mit 10 Aktien in einem Nennwert von jeweils 50,00 € beteiligt. Das Grundkapital der D Aktienbrauerei AG beträgt 5,0 Mio. €. Auf der Hauptversammlung der AG verlangt B Auskunft zu der Frage der Errichtung eines Zweigwerkes in Tschechien sowie zu der geringeren Dividendenausschüttung im Vergleich zu den Vorjahren. Der Vorstand gibt B zur Antwort, dass bezüglich der Fragen ein umfangreiches Papier vorliege, das allen Aktionären zur Vorbereitung der Tagesordnungspunkte in der Hauptversammlung vorher übersandt worden sei. Aus diesem Grunde könne B keine Auskunft zu weiteren Fragen verlangen. B beruft sich auf § 131 AktG. Zu Recht?</w:t>
      </w:r>
    </w:p>
    <w:p w:rsidR="003337AA" w:rsidRPr="00A00B17" w:rsidRDefault="003337AA" w:rsidP="00841D00">
      <w:pPr>
        <w:ind w:left="2832"/>
        <w:jc w:val="both"/>
        <w:rPr>
          <w:szCs w:val="24"/>
        </w:rPr>
      </w:pPr>
    </w:p>
    <w:p w:rsidR="003337AA" w:rsidRPr="00A00B17" w:rsidRDefault="003337AA" w:rsidP="00841D00">
      <w:pPr>
        <w:ind w:left="2832"/>
        <w:jc w:val="both"/>
        <w:rPr>
          <w:b/>
          <w:i/>
          <w:szCs w:val="24"/>
        </w:rPr>
      </w:pPr>
      <w:r w:rsidRPr="00A00B17">
        <w:rPr>
          <w:b/>
          <w:i/>
          <w:szCs w:val="24"/>
        </w:rPr>
        <w:t>§ 131 AktG (Auskunftsrecht des Aktionärs)</w:t>
      </w:r>
    </w:p>
    <w:p w:rsidR="003337AA" w:rsidRPr="006C5890" w:rsidRDefault="003337AA" w:rsidP="00841D00">
      <w:pPr>
        <w:ind w:left="2832"/>
        <w:jc w:val="both"/>
        <w:rPr>
          <w:i/>
        </w:rPr>
      </w:pPr>
      <w:r w:rsidRPr="00A00B17">
        <w:rPr>
          <w:i/>
          <w:szCs w:val="24"/>
        </w:rPr>
        <w:t>(1) Jedem Aktionär</w:t>
      </w:r>
      <w:r w:rsidRPr="006C5890">
        <w:rPr>
          <w:i/>
        </w:rPr>
        <w:t xml:space="preserve"> ist auf Verlangen in der Hauptversammlung vom Vorstand Auskunft über Angelegenheiten der</w:t>
      </w:r>
      <w:r>
        <w:rPr>
          <w:i/>
        </w:rPr>
        <w:t xml:space="preserve"> </w:t>
      </w:r>
      <w:r w:rsidRPr="006C5890">
        <w:rPr>
          <w:i/>
        </w:rPr>
        <w:t>Gesellschaft zu geben, soweit sie zur sachgemäßen Beurteilung des Gegenstands der Tagesordnung erforderlich</w:t>
      </w:r>
      <w:r>
        <w:rPr>
          <w:i/>
        </w:rPr>
        <w:t xml:space="preserve"> </w:t>
      </w:r>
      <w:r w:rsidRPr="006C5890">
        <w:rPr>
          <w:i/>
        </w:rPr>
        <w:t>ist. Die Auskunftspflicht erstreckt sich auch auf die rechtlichen und geschäftlichen Beziehungen der Gesellschaft</w:t>
      </w:r>
      <w:r>
        <w:rPr>
          <w:i/>
        </w:rPr>
        <w:t xml:space="preserve"> </w:t>
      </w:r>
      <w:r w:rsidRPr="006C5890">
        <w:rPr>
          <w:i/>
        </w:rPr>
        <w:t xml:space="preserve">zu einem </w:t>
      </w:r>
      <w:r w:rsidRPr="006C5890">
        <w:rPr>
          <w:i/>
        </w:rPr>
        <w:lastRenderedPageBreak/>
        <w:t>verbundenen Unternehmen. Macht eine Gesellschaft von den Erleichterungen nach § 266 Abs. 1</w:t>
      </w:r>
      <w:r>
        <w:rPr>
          <w:i/>
        </w:rPr>
        <w:t xml:space="preserve"> </w:t>
      </w:r>
      <w:r w:rsidR="001A38C4">
        <w:rPr>
          <w:i/>
        </w:rPr>
        <w:t>Satz 2, § </w:t>
      </w:r>
      <w:r w:rsidRPr="006C5890">
        <w:rPr>
          <w:i/>
        </w:rPr>
        <w:t>276 oder § 288 des Handelsgesetzbuchs Gebrauch, so kann jeder Aktionär verlangen, dass ihm in</w:t>
      </w:r>
      <w:r>
        <w:rPr>
          <w:i/>
        </w:rPr>
        <w:t xml:space="preserve"> </w:t>
      </w:r>
      <w:r w:rsidRPr="006C5890">
        <w:rPr>
          <w:i/>
        </w:rPr>
        <w:t>der Hauptversammlung über den Jahresabschluss der Jahresabschluss in der Form vorgelegt wird, die er ohne</w:t>
      </w:r>
      <w:r>
        <w:rPr>
          <w:i/>
        </w:rPr>
        <w:t xml:space="preserve"> </w:t>
      </w:r>
      <w:r w:rsidRPr="006C5890">
        <w:rPr>
          <w:i/>
        </w:rPr>
        <w:t>Anwendung dieser Vorschriften hätte. Die Auskunftspflicht des Vorsta</w:t>
      </w:r>
      <w:r w:rsidR="004B3E64">
        <w:rPr>
          <w:i/>
        </w:rPr>
        <w:t>nds eines Mutterunternehmens (§ </w:t>
      </w:r>
      <w:r w:rsidRPr="006C5890">
        <w:rPr>
          <w:i/>
        </w:rPr>
        <w:t>290 Abs.</w:t>
      </w:r>
      <w:r>
        <w:rPr>
          <w:i/>
        </w:rPr>
        <w:t xml:space="preserve"> </w:t>
      </w:r>
      <w:r w:rsidRPr="006C5890">
        <w:rPr>
          <w:i/>
        </w:rPr>
        <w:t>1, 2 des Handelsgesetzbuchs) in der Hauptversammlung, der der Konzernabschluss und der Konzernlagebericht</w:t>
      </w:r>
      <w:r>
        <w:rPr>
          <w:i/>
        </w:rPr>
        <w:t xml:space="preserve"> </w:t>
      </w:r>
      <w:r w:rsidRPr="006C5890">
        <w:rPr>
          <w:i/>
        </w:rPr>
        <w:t>vorgelegt werden, erstreckt sich auch auf die Lage des Konzerns und der in den Konzernabschluss einbezogenen</w:t>
      </w:r>
      <w:r>
        <w:rPr>
          <w:i/>
        </w:rPr>
        <w:t xml:space="preserve"> </w:t>
      </w:r>
      <w:r w:rsidRPr="006C5890">
        <w:rPr>
          <w:i/>
        </w:rPr>
        <w:t>Unternehmen.</w:t>
      </w:r>
    </w:p>
    <w:p w:rsidR="003337AA" w:rsidRPr="006C5890" w:rsidRDefault="003337AA" w:rsidP="00841D00">
      <w:pPr>
        <w:ind w:left="2832"/>
        <w:jc w:val="both"/>
        <w:rPr>
          <w:i/>
        </w:rPr>
      </w:pPr>
      <w:r w:rsidRPr="006C5890">
        <w:rPr>
          <w:i/>
        </w:rPr>
        <w:t>(2) Die Auskunft hat den Grundsätzen einer gewissenhaften und getreuen Rechenschaft zu entsprechen. Die</w:t>
      </w:r>
      <w:r>
        <w:rPr>
          <w:i/>
        </w:rPr>
        <w:t xml:space="preserve"> </w:t>
      </w:r>
      <w:r w:rsidRPr="006C5890">
        <w:rPr>
          <w:i/>
        </w:rPr>
        <w:t>Satzung oder die Geschäftsordnung gemäß § 129 kann den Versammlungsleiter ermächtigen, das Frage- und</w:t>
      </w:r>
      <w:r>
        <w:rPr>
          <w:i/>
        </w:rPr>
        <w:t xml:space="preserve"> </w:t>
      </w:r>
      <w:r w:rsidRPr="006C5890">
        <w:rPr>
          <w:i/>
        </w:rPr>
        <w:t>Rederecht des Aktionärs zeitlich angemessen zu beschränken, und Näheres dazu bestimmen.</w:t>
      </w:r>
    </w:p>
    <w:p w:rsidR="003337AA" w:rsidRPr="006C5890" w:rsidRDefault="003337AA" w:rsidP="00841D00">
      <w:pPr>
        <w:ind w:left="2832"/>
        <w:jc w:val="both"/>
        <w:rPr>
          <w:i/>
        </w:rPr>
      </w:pPr>
      <w:r w:rsidRPr="006C5890">
        <w:rPr>
          <w:i/>
        </w:rPr>
        <w:t>(3) Der Vorstand darf die Auskunft verweigern,</w:t>
      </w:r>
    </w:p>
    <w:p w:rsidR="003337AA" w:rsidRPr="006C5890" w:rsidRDefault="003337AA" w:rsidP="00841D00">
      <w:pPr>
        <w:ind w:left="2832"/>
        <w:jc w:val="both"/>
        <w:rPr>
          <w:i/>
        </w:rPr>
      </w:pPr>
      <w:r w:rsidRPr="006C5890">
        <w:rPr>
          <w:i/>
        </w:rPr>
        <w:t>1.  soweit die Erteilung der Auskunft nach vernünftiger kaufmännischer Beurteilung geeignet ist, der</w:t>
      </w:r>
      <w:r>
        <w:rPr>
          <w:i/>
        </w:rPr>
        <w:t xml:space="preserve"> </w:t>
      </w:r>
      <w:r w:rsidRPr="006C5890">
        <w:rPr>
          <w:i/>
        </w:rPr>
        <w:t>Gesellschaft oder einem verbundenen Unternehmen einen nicht unerheblichen Nachteil zuzufügen;</w:t>
      </w:r>
    </w:p>
    <w:p w:rsidR="003337AA" w:rsidRPr="006C5890" w:rsidRDefault="003337AA" w:rsidP="00841D00">
      <w:pPr>
        <w:ind w:left="2832"/>
        <w:jc w:val="both"/>
        <w:rPr>
          <w:i/>
        </w:rPr>
      </w:pPr>
      <w:r w:rsidRPr="006C5890">
        <w:rPr>
          <w:i/>
        </w:rPr>
        <w:t>2.  soweit sie sich auf steuerliche Wertansätze oder die Höhe einzelner Steuern bezieht;</w:t>
      </w:r>
    </w:p>
    <w:p w:rsidR="003337AA" w:rsidRPr="006C5890" w:rsidRDefault="003337AA" w:rsidP="00841D00">
      <w:pPr>
        <w:ind w:left="2832"/>
        <w:jc w:val="both"/>
        <w:rPr>
          <w:i/>
        </w:rPr>
      </w:pPr>
      <w:r w:rsidRPr="006C5890">
        <w:rPr>
          <w:i/>
        </w:rPr>
        <w:t>3.  über den Unterschied zwischen dem Wert, mit dem Gegenstände in der Jahresbilanz angesetzt worden sind,</w:t>
      </w:r>
      <w:r>
        <w:rPr>
          <w:i/>
        </w:rPr>
        <w:t xml:space="preserve"> </w:t>
      </w:r>
      <w:r w:rsidRPr="006C5890">
        <w:rPr>
          <w:i/>
        </w:rPr>
        <w:t>und einem höheren Wert dieser Gegenstände, es sei denn, dass die Hauptversammlung den Jahresabschluss</w:t>
      </w:r>
      <w:r>
        <w:rPr>
          <w:i/>
        </w:rPr>
        <w:t xml:space="preserve"> </w:t>
      </w:r>
      <w:r w:rsidRPr="006C5890">
        <w:rPr>
          <w:i/>
        </w:rPr>
        <w:t>feststellt;</w:t>
      </w:r>
    </w:p>
    <w:p w:rsidR="003337AA" w:rsidRPr="006C5890" w:rsidRDefault="003337AA" w:rsidP="00841D00">
      <w:pPr>
        <w:ind w:left="2832"/>
        <w:jc w:val="both"/>
        <w:rPr>
          <w:i/>
        </w:rPr>
      </w:pPr>
      <w:r w:rsidRPr="006C5890">
        <w:rPr>
          <w:i/>
        </w:rPr>
        <w:t>4.  über die Bilanzierungs- und Bewertungsmethoden, soweit die Angabe dieser Methoden im Anhang ausreicht,</w:t>
      </w:r>
      <w:r>
        <w:rPr>
          <w:i/>
        </w:rPr>
        <w:t xml:space="preserve"> </w:t>
      </w:r>
      <w:r w:rsidRPr="006C5890">
        <w:rPr>
          <w:i/>
        </w:rPr>
        <w:t>um ein den tatsächlichen Verhältnissen entsprechendes Bild der Vermögens</w:t>
      </w:r>
      <w:r>
        <w:rPr>
          <w:i/>
        </w:rPr>
        <w:noBreakHyphen/>
      </w:r>
      <w:r w:rsidRPr="006C5890">
        <w:rPr>
          <w:i/>
        </w:rPr>
        <w:t>, Finanz- und Ertragslage der</w:t>
      </w:r>
      <w:r>
        <w:rPr>
          <w:i/>
        </w:rPr>
        <w:t xml:space="preserve"> </w:t>
      </w:r>
      <w:r w:rsidRPr="006C5890">
        <w:rPr>
          <w:i/>
        </w:rPr>
        <w:t>Gesellschaft im Sinne des § 264 Abs. 2 des Handelsgesetzbuchs zu vermitteln; dies gilt nicht, wenn die</w:t>
      </w:r>
      <w:r>
        <w:rPr>
          <w:i/>
        </w:rPr>
        <w:t xml:space="preserve"> </w:t>
      </w:r>
      <w:r w:rsidRPr="006C5890">
        <w:rPr>
          <w:i/>
        </w:rPr>
        <w:t>Hauptversammlung den Jahresabschluss feststellt;</w:t>
      </w:r>
    </w:p>
    <w:p w:rsidR="003337AA" w:rsidRPr="006C5890" w:rsidRDefault="003337AA" w:rsidP="00841D00">
      <w:pPr>
        <w:ind w:left="2832"/>
        <w:jc w:val="both"/>
        <w:rPr>
          <w:i/>
        </w:rPr>
      </w:pPr>
      <w:r w:rsidRPr="006C5890">
        <w:rPr>
          <w:i/>
        </w:rPr>
        <w:t>5.  soweit sich der Vorstand durch die Erteilung der Auskunft strafbar machen würde;</w:t>
      </w:r>
    </w:p>
    <w:p w:rsidR="003337AA" w:rsidRPr="006C5890" w:rsidRDefault="003337AA" w:rsidP="00841D00">
      <w:pPr>
        <w:ind w:left="2832"/>
        <w:jc w:val="both"/>
        <w:rPr>
          <w:i/>
        </w:rPr>
      </w:pPr>
      <w:r w:rsidRPr="006C5890">
        <w:rPr>
          <w:i/>
        </w:rPr>
        <w:t>6. soweit bei einem Kreditinstitut oder Finanzdienstleistungsinstitut Angaben über angewandte Bilanzierungs-</w:t>
      </w:r>
      <w:r>
        <w:rPr>
          <w:i/>
        </w:rPr>
        <w:t xml:space="preserve"> </w:t>
      </w:r>
      <w:r w:rsidRPr="006C5890">
        <w:rPr>
          <w:i/>
        </w:rPr>
        <w:t>und Bewertungsmethoden sowie vorgenommene Verrechnungen im Jahresabschluss, Lagebericht,</w:t>
      </w:r>
    </w:p>
    <w:p w:rsidR="003337AA" w:rsidRPr="006C5890" w:rsidRDefault="003337AA" w:rsidP="00841D00">
      <w:pPr>
        <w:ind w:left="2832"/>
        <w:jc w:val="both"/>
        <w:rPr>
          <w:i/>
        </w:rPr>
      </w:pPr>
      <w:r w:rsidRPr="006C5890">
        <w:rPr>
          <w:i/>
        </w:rPr>
        <w:t>Konzernabschluss oder Konzernlagebericht nicht gemacht zu werden brauchen;</w:t>
      </w:r>
    </w:p>
    <w:p w:rsidR="003337AA" w:rsidRPr="006C5890" w:rsidRDefault="003337AA" w:rsidP="00841D00">
      <w:pPr>
        <w:ind w:left="2832"/>
        <w:jc w:val="both"/>
        <w:rPr>
          <w:i/>
        </w:rPr>
      </w:pPr>
      <w:r w:rsidRPr="006C5890">
        <w:rPr>
          <w:i/>
        </w:rPr>
        <w:t>7.  soweit die Auskunft auf der Internetseite der Gesellschaft über mindestens sieben Tage vor Beginn und in</w:t>
      </w:r>
      <w:r>
        <w:rPr>
          <w:i/>
        </w:rPr>
        <w:t xml:space="preserve"> </w:t>
      </w:r>
      <w:r w:rsidRPr="006C5890">
        <w:rPr>
          <w:i/>
        </w:rPr>
        <w:t>der Hauptversammlung durchgängig zugänglich ist.</w:t>
      </w:r>
      <w:r>
        <w:rPr>
          <w:i/>
        </w:rPr>
        <w:t xml:space="preserve"> </w:t>
      </w:r>
      <w:r w:rsidRPr="006C5890">
        <w:rPr>
          <w:i/>
        </w:rPr>
        <w:t>Aus anderen Gründen darf die Auskunft nicht verweigert werden.</w:t>
      </w:r>
    </w:p>
    <w:p w:rsidR="003337AA" w:rsidRPr="006C5890" w:rsidRDefault="003337AA" w:rsidP="00841D00">
      <w:pPr>
        <w:ind w:left="2832"/>
        <w:jc w:val="both"/>
        <w:rPr>
          <w:i/>
        </w:rPr>
      </w:pPr>
      <w:r w:rsidRPr="006C5890">
        <w:rPr>
          <w:i/>
        </w:rPr>
        <w:t>(4) Ist einem Aktionär wegen seiner Eigenschaft als Aktionär eine Auskunft außerhalb der Hauptversammlung</w:t>
      </w:r>
      <w:r>
        <w:rPr>
          <w:i/>
        </w:rPr>
        <w:t xml:space="preserve"> </w:t>
      </w:r>
      <w:r w:rsidRPr="006C5890">
        <w:rPr>
          <w:i/>
        </w:rPr>
        <w:t>gegeben worden, so ist sie jedem anderen Aktionär auf dessen Verlangen in der Hauptversammlung zu geben,</w:t>
      </w:r>
      <w:r>
        <w:rPr>
          <w:i/>
        </w:rPr>
        <w:t xml:space="preserve"> </w:t>
      </w:r>
      <w:r w:rsidRPr="006C5890">
        <w:rPr>
          <w:i/>
        </w:rPr>
        <w:t xml:space="preserve">auch wenn sie zur </w:t>
      </w:r>
      <w:r w:rsidRPr="006C5890">
        <w:rPr>
          <w:i/>
        </w:rPr>
        <w:lastRenderedPageBreak/>
        <w:t>sachgemäßen Beurteilung des Gegenstands der Tagesordnung nicht erforderlich ist. Der</w:t>
      </w:r>
      <w:r>
        <w:rPr>
          <w:i/>
        </w:rPr>
        <w:t xml:space="preserve"> </w:t>
      </w:r>
      <w:r w:rsidRPr="006C5890">
        <w:rPr>
          <w:i/>
        </w:rPr>
        <w:t>Vorstand darf</w:t>
      </w:r>
      <w:r w:rsidR="00E750BB">
        <w:rPr>
          <w:i/>
        </w:rPr>
        <w:t xml:space="preserve"> die Auskunft nicht nach Absatz </w:t>
      </w:r>
      <w:r w:rsidRPr="006C5890">
        <w:rPr>
          <w:i/>
        </w:rPr>
        <w:t>3 Satz 1 Nr. 1 bis 4 verweigern. Sätze 1 und 2 gelten nicht, wenn</w:t>
      </w:r>
      <w:r>
        <w:rPr>
          <w:i/>
        </w:rPr>
        <w:t xml:space="preserve"> </w:t>
      </w:r>
      <w:r w:rsidRPr="006C5890">
        <w:rPr>
          <w:i/>
        </w:rPr>
        <w:t>ein Tochterunternehmen (§ 290 Abs. 1, 2 des Handelsgesetzbuchs), ein Gemeinschaftsunternehmen (§ 310</w:t>
      </w:r>
      <w:r>
        <w:rPr>
          <w:i/>
        </w:rPr>
        <w:t xml:space="preserve"> </w:t>
      </w:r>
      <w:r w:rsidRPr="006C5890">
        <w:rPr>
          <w:i/>
        </w:rPr>
        <w:t>Abs. 1 des Handelsgesetzbuchs) oder ein assoziiertes Unternehmen (§ 311 Abs. 1 des Handelsgesetzbuchs) die</w:t>
      </w:r>
      <w:r>
        <w:rPr>
          <w:i/>
        </w:rPr>
        <w:t xml:space="preserve"> </w:t>
      </w:r>
      <w:r w:rsidRPr="006C5890">
        <w:rPr>
          <w:i/>
        </w:rPr>
        <w:t>Auskunft einem Mutterunternehmen (§ 290 Abs. 1, 2 des Handelsgesetzbuchs) zum Zwecke der Einbeziehung der</w:t>
      </w:r>
      <w:r>
        <w:rPr>
          <w:i/>
        </w:rPr>
        <w:t xml:space="preserve"> </w:t>
      </w:r>
      <w:r w:rsidRPr="006C5890">
        <w:rPr>
          <w:i/>
        </w:rPr>
        <w:t>Gesellschaft in den Konzernabschluss des Mutterunternehmens erteilt und die Auskunft für diesen Zweck benötigt</w:t>
      </w:r>
      <w:r>
        <w:rPr>
          <w:i/>
        </w:rPr>
        <w:t xml:space="preserve"> </w:t>
      </w:r>
      <w:r w:rsidRPr="006C5890">
        <w:rPr>
          <w:i/>
        </w:rPr>
        <w:t>wird.</w:t>
      </w:r>
    </w:p>
    <w:p w:rsidR="003337AA" w:rsidRPr="006C5890" w:rsidRDefault="003337AA" w:rsidP="00841D00">
      <w:pPr>
        <w:ind w:left="2832"/>
        <w:jc w:val="both"/>
        <w:rPr>
          <w:i/>
        </w:rPr>
      </w:pPr>
      <w:r w:rsidRPr="006C5890">
        <w:rPr>
          <w:i/>
        </w:rPr>
        <w:t>(5) Wird einem Aktionär eine Auskunft verweigert, so kann er verlangen, dass seine Frage und der Grund, aus</w:t>
      </w:r>
      <w:r>
        <w:rPr>
          <w:i/>
        </w:rPr>
        <w:t xml:space="preserve"> </w:t>
      </w:r>
      <w:r w:rsidRPr="006C5890">
        <w:rPr>
          <w:i/>
        </w:rPr>
        <w:t>dem die Auskunft verweigert worden ist, in die Niederschrift über die Verhandlung aufgenommen werden.</w:t>
      </w:r>
    </w:p>
    <w:p w:rsidR="003337AA" w:rsidRDefault="003337AA" w:rsidP="00841D00">
      <w:pPr>
        <w:ind w:left="2832"/>
        <w:jc w:val="both"/>
      </w:pPr>
    </w:p>
    <w:p w:rsidR="003337AA" w:rsidRPr="00DD6101" w:rsidRDefault="0019233F" w:rsidP="0080056F">
      <w:pPr>
        <w:ind w:left="2832"/>
        <w:rPr>
          <w:b/>
          <w:u w:val="single"/>
        </w:rPr>
      </w:pPr>
      <w:r>
        <w:br w:type="page"/>
      </w:r>
      <w:r w:rsidR="00156664">
        <w:rPr>
          <w:b/>
          <w:u w:val="single"/>
        </w:rPr>
        <w:lastRenderedPageBreak/>
        <w:t>B. Arbeitsrecht</w:t>
      </w:r>
    </w:p>
    <w:p w:rsidR="0019233F" w:rsidRDefault="0019233F" w:rsidP="00841D00">
      <w:pPr>
        <w:ind w:left="2832"/>
        <w:jc w:val="both"/>
      </w:pPr>
    </w:p>
    <w:p w:rsidR="00AA3086" w:rsidRPr="00AA3086" w:rsidRDefault="00AA3086" w:rsidP="00AA3086">
      <w:pPr>
        <w:ind w:left="2832"/>
        <w:jc w:val="both"/>
        <w:rPr>
          <w:b/>
          <w:bCs/>
          <w:szCs w:val="24"/>
        </w:rPr>
      </w:pPr>
      <w:r w:rsidRPr="00AA3086">
        <w:rPr>
          <w:b/>
          <w:bCs/>
          <w:szCs w:val="24"/>
        </w:rPr>
        <w:t>I. Vorliegen eines Arbeitsverhältnisses</w:t>
      </w:r>
    </w:p>
    <w:p w:rsidR="00AA3086" w:rsidRPr="00AA3086" w:rsidRDefault="00AA3086" w:rsidP="00AA3086">
      <w:pPr>
        <w:ind w:left="2832"/>
        <w:jc w:val="both"/>
        <w:rPr>
          <w:szCs w:val="24"/>
        </w:rPr>
      </w:pPr>
    </w:p>
    <w:p w:rsidR="00AA3086" w:rsidRPr="002740B3" w:rsidRDefault="00AA3086" w:rsidP="002740B3">
      <w:pPr>
        <w:ind w:left="2832"/>
        <w:rPr>
          <w:rStyle w:val="Fett"/>
        </w:rPr>
      </w:pPr>
      <w:r w:rsidRPr="002740B3">
        <w:rPr>
          <w:rStyle w:val="Fett"/>
        </w:rPr>
        <w:t>Fall 1</w:t>
      </w:r>
      <w:r w:rsidR="002740B3" w:rsidRPr="002740B3">
        <w:rPr>
          <w:rStyle w:val="Fett"/>
        </w:rPr>
        <w:t>:</w:t>
      </w:r>
    </w:p>
    <w:p w:rsidR="002740B3" w:rsidRPr="007A31BD" w:rsidRDefault="002740B3" w:rsidP="00AA3086">
      <w:pPr>
        <w:ind w:left="2832"/>
        <w:jc w:val="both"/>
        <w:rPr>
          <w:sz w:val="16"/>
          <w:szCs w:val="16"/>
        </w:rPr>
      </w:pPr>
    </w:p>
    <w:p w:rsidR="00AA3086" w:rsidRPr="00AA3086" w:rsidRDefault="00AA3086" w:rsidP="00AA3086">
      <w:pPr>
        <w:ind w:left="2832"/>
        <w:jc w:val="both"/>
        <w:rPr>
          <w:szCs w:val="24"/>
        </w:rPr>
      </w:pPr>
      <w:r w:rsidRPr="00AA3086">
        <w:rPr>
          <w:szCs w:val="24"/>
        </w:rPr>
        <w:t xml:space="preserve">B hat sein Studium als Bauingenieur mit Diplom abgeschlossen. Er trifft mit einer international tätigen Baufirma eine als „Freier Mitarbeiter-Vertrag“ überschriebene Vereinbarung. Danach wird B beauftragt, Bauvorhaben im Raum Berlin/Brandenburg gegen ein Festgehalt von 5.000,00 € zu betreuen. Zugleich wird im </w:t>
      </w:r>
      <w:r w:rsidR="0080056F">
        <w:rPr>
          <w:szCs w:val="24"/>
        </w:rPr>
        <w:t>Vertrag</w:t>
      </w:r>
      <w:r w:rsidRPr="00AA3086">
        <w:rPr>
          <w:szCs w:val="24"/>
        </w:rPr>
        <w:t xml:space="preserve"> vereinbart, dass B die Summe selbst zu versteuern und sich selbst zu versichern hat. B wird am BBI im Bereich der Baulogistik eingesetzt. Zu seinen Aufgaben gehört die Organisation des Transportes von Baumaterialien. B ist regelmäßig 8 bis 10 Stunden von Montag bis Freitag tätig. Ihm wird ein Schreibtisch in einer Baubaracke auf dem BBI zugewiesen. Die Zeiten der Abwesenheit un</w:t>
      </w:r>
      <w:r w:rsidR="00FB00A3">
        <w:rPr>
          <w:szCs w:val="24"/>
        </w:rPr>
        <w:t>d des Urlaubs muss er mit</w:t>
      </w:r>
      <w:r w:rsidRPr="00AA3086">
        <w:rPr>
          <w:szCs w:val="24"/>
        </w:rPr>
        <w:t xml:space="preserve"> Vorgesetzen abstimmen. Als B krank wird, meint die Baufirma, ihm stehen keine Entgeltfortzahlungsansprüche zu, da er kein Arbeitnehmer sei. Wie ist die Rechtslage?</w:t>
      </w:r>
      <w:r w:rsidR="002740B3">
        <w:rPr>
          <w:szCs w:val="24"/>
        </w:rPr>
        <w:t xml:space="preserve"> (Anspruchsgrundlage ist § 3 Abs. 1 </w:t>
      </w:r>
      <w:proofErr w:type="spellStart"/>
      <w:r w:rsidR="002740B3">
        <w:rPr>
          <w:szCs w:val="24"/>
        </w:rPr>
        <w:t>EntgeltfortzG</w:t>
      </w:r>
      <w:proofErr w:type="spellEnd"/>
      <w:r w:rsidR="002740B3">
        <w:rPr>
          <w:szCs w:val="24"/>
        </w:rPr>
        <w:t>)</w:t>
      </w:r>
    </w:p>
    <w:p w:rsidR="00AA3086" w:rsidRPr="007A31BD" w:rsidRDefault="00AA3086" w:rsidP="00AA3086">
      <w:pPr>
        <w:ind w:left="2832"/>
        <w:jc w:val="both"/>
        <w:rPr>
          <w:sz w:val="16"/>
          <w:szCs w:val="16"/>
        </w:rPr>
      </w:pPr>
    </w:p>
    <w:p w:rsidR="002740B3" w:rsidRPr="002740B3" w:rsidRDefault="00AA3086" w:rsidP="00AA3086">
      <w:pPr>
        <w:ind w:left="2832"/>
        <w:jc w:val="both"/>
        <w:rPr>
          <w:b/>
          <w:i/>
          <w:szCs w:val="24"/>
        </w:rPr>
      </w:pPr>
      <w:r w:rsidRPr="002740B3">
        <w:rPr>
          <w:b/>
          <w:i/>
          <w:szCs w:val="24"/>
        </w:rPr>
        <w:t xml:space="preserve">BAG NZA 2000, S. 1103: </w:t>
      </w:r>
    </w:p>
    <w:p w:rsidR="007A31BD" w:rsidRPr="00AC6B01" w:rsidRDefault="00AA3086" w:rsidP="00AA3086">
      <w:pPr>
        <w:ind w:left="2832"/>
        <w:jc w:val="both"/>
        <w:rPr>
          <w:i/>
          <w:szCs w:val="24"/>
        </w:rPr>
      </w:pPr>
      <w:r w:rsidRPr="002740B3">
        <w:rPr>
          <w:i/>
          <w:szCs w:val="24"/>
        </w:rPr>
        <w:t>Arbeitnehmer ist derjenige, der seine vertraglich geschuldete Leistung im Rahmen einer von Dritten bestimmten Arbeitsorganisation erbringt. Die Eingliederung in die fremde Arbeitsorganisation zeigt sich insbesondere daran, dass der Beschäftigte einem Weisungsrecht seines Vertragspartners (Arbeitgebers) unterliegt. Das Weisungsrecht kann Inhalt, Durchführung, Zeit, Dauer und Ort der Tät</w:t>
      </w:r>
      <w:r w:rsidR="002740B3">
        <w:rPr>
          <w:i/>
          <w:szCs w:val="24"/>
        </w:rPr>
        <w:t>igkeit betreffen. ... § </w:t>
      </w:r>
      <w:r w:rsidRPr="002740B3">
        <w:rPr>
          <w:i/>
          <w:szCs w:val="24"/>
        </w:rPr>
        <w:t>84 Abs. 1 Satz 2, Abs. 2 HGB enthält insoweit eine über seinen unmittelbaren Anwendungsbereich hinausgehende gesetzliche Wertung.</w:t>
      </w:r>
      <w:r w:rsidR="00AC6B01">
        <w:rPr>
          <w:i/>
          <w:szCs w:val="24"/>
        </w:rPr>
        <w:t xml:space="preserve"> </w:t>
      </w:r>
      <w:r w:rsidR="00AC6B01">
        <w:rPr>
          <w:szCs w:val="24"/>
        </w:rPr>
        <w:t>vgl. ferner § 611 a BGB</w:t>
      </w:r>
    </w:p>
    <w:p w:rsidR="007A31BD" w:rsidRPr="00AA3086" w:rsidRDefault="007A31BD" w:rsidP="00AA3086">
      <w:pPr>
        <w:ind w:left="2832"/>
        <w:jc w:val="both"/>
        <w:rPr>
          <w:szCs w:val="24"/>
        </w:rPr>
      </w:pPr>
    </w:p>
    <w:p w:rsidR="00AA3086" w:rsidRPr="002740B3" w:rsidRDefault="00AA3086" w:rsidP="002740B3">
      <w:pPr>
        <w:ind w:left="2832"/>
        <w:rPr>
          <w:b/>
        </w:rPr>
      </w:pPr>
      <w:r w:rsidRPr="002740B3">
        <w:rPr>
          <w:b/>
        </w:rPr>
        <w:t>Fall 2</w:t>
      </w:r>
      <w:r w:rsidR="002740B3">
        <w:rPr>
          <w:b/>
        </w:rPr>
        <w:t>:</w:t>
      </w:r>
    </w:p>
    <w:p w:rsidR="002740B3" w:rsidRDefault="002740B3" w:rsidP="00AA3086">
      <w:pPr>
        <w:ind w:left="2832"/>
        <w:jc w:val="both"/>
        <w:rPr>
          <w:szCs w:val="24"/>
        </w:rPr>
      </w:pPr>
    </w:p>
    <w:p w:rsidR="00AA3086" w:rsidRPr="00AA3086" w:rsidRDefault="00AA3086" w:rsidP="00AA3086">
      <w:pPr>
        <w:ind w:left="2832"/>
        <w:jc w:val="both"/>
        <w:rPr>
          <w:szCs w:val="24"/>
        </w:rPr>
      </w:pPr>
      <w:r w:rsidRPr="00AA3086">
        <w:rPr>
          <w:szCs w:val="24"/>
        </w:rPr>
        <w:t>A studiert Maschinenbau an der Fachhochschule Süd Westfalen. Er vereinbart mit der O-GmbH einen sog. Praktikantenvertrag, wonach er während der Semesterferien regelmäßig sechs Wochen im Sommer und sechs Wochen im Winter in der Produktion tätig ist. Bislang hat A keinen anteiligen Urlaub für diese Zeit erhalten, weil er nach Auffassung der O-GmbH kein Arbeitnehmer im Sinne des Bundesurlaubsgesetzes ist. Besteht ein Urlaubsanspruch? Anspruchsgrundlage §§ 1, 3 BUrlG?</w:t>
      </w:r>
    </w:p>
    <w:p w:rsidR="00AA3086" w:rsidRPr="00AA3086" w:rsidRDefault="00AA3086" w:rsidP="00AA3086">
      <w:pPr>
        <w:ind w:left="2832"/>
        <w:jc w:val="both"/>
        <w:rPr>
          <w:szCs w:val="24"/>
        </w:rPr>
      </w:pPr>
    </w:p>
    <w:p w:rsidR="002A346C" w:rsidRPr="002A346C" w:rsidRDefault="00AA3086" w:rsidP="002740B3">
      <w:pPr>
        <w:pStyle w:val="Textkrper2"/>
        <w:spacing w:after="0" w:line="240" w:lineRule="auto"/>
        <w:ind w:left="2832"/>
        <w:jc w:val="both"/>
        <w:rPr>
          <w:b/>
          <w:i/>
          <w:szCs w:val="24"/>
        </w:rPr>
      </w:pPr>
      <w:r w:rsidRPr="002A346C">
        <w:rPr>
          <w:b/>
          <w:i/>
          <w:szCs w:val="24"/>
        </w:rPr>
        <w:t xml:space="preserve">LAG Köln NZA-RR 2006, 525: </w:t>
      </w:r>
    </w:p>
    <w:p w:rsidR="00AA3086" w:rsidRPr="002A346C" w:rsidRDefault="00AA3086" w:rsidP="002740B3">
      <w:pPr>
        <w:pStyle w:val="Textkrper2"/>
        <w:spacing w:after="0" w:line="240" w:lineRule="auto"/>
        <w:ind w:left="2832"/>
        <w:jc w:val="both"/>
        <w:rPr>
          <w:i/>
          <w:szCs w:val="24"/>
        </w:rPr>
      </w:pPr>
      <w:r w:rsidRPr="002A346C">
        <w:rPr>
          <w:i/>
          <w:szCs w:val="24"/>
        </w:rPr>
        <w:t xml:space="preserve">Die Tätigkeit im Rahmen eines „Praktikantenvertrages“ kann rechtlich als Arbeitsverhältnis qualifiziert werden. Zwar ist ein Praktikant in aller Regel vorübergehend in einem Betrieb praktisch tätig, um sich die zur Vorbereitung auf einen Beruf notwendigen praktischen Kenntnisse und Erfahrungen </w:t>
      </w:r>
      <w:r w:rsidRPr="002A346C">
        <w:rPr>
          <w:i/>
          <w:szCs w:val="24"/>
        </w:rPr>
        <w:lastRenderedPageBreak/>
        <w:t>anzueignen. Demnach steht bei einem Praktikantenverhältnis der Ausbildungszweck im Vordergrund. Die Vergütung ist daher der Höhe nach eher eine Aufwandsentschädigung oder Beihilfe zum Lebensunterhalt. Gleichwohl kann auch ein Praktikantenvertrag zum Inhalt haben, dass der Praktikant im Dienst eines anderen zur Leistung weisungsgebundener, fremdbestimmter Arbeit in persönlicher Abhängigkeit verpflichtet ist. Der Praktikant erbringt in diesem Fall die vertraglich geschuldete Leistung im Rahmen einer von Dritten bestimmten Arbeitsorganisation und ist daher als Arbeitnehmer anzusehen. Vgl. auch § 22 Abs. 1 Nr.</w:t>
      </w:r>
      <w:r w:rsidR="002A346C">
        <w:rPr>
          <w:i/>
          <w:szCs w:val="24"/>
        </w:rPr>
        <w:t> </w:t>
      </w:r>
      <w:r w:rsidRPr="002A346C">
        <w:rPr>
          <w:i/>
          <w:szCs w:val="24"/>
        </w:rPr>
        <w:t>1</w:t>
      </w:r>
      <w:r w:rsidR="002A346C">
        <w:rPr>
          <w:i/>
          <w:szCs w:val="24"/>
        </w:rPr>
        <w:t> – 3 </w:t>
      </w:r>
      <w:proofErr w:type="spellStart"/>
      <w:r w:rsidRPr="002A346C">
        <w:rPr>
          <w:i/>
          <w:szCs w:val="24"/>
        </w:rPr>
        <w:t>MiLoG</w:t>
      </w:r>
      <w:proofErr w:type="spellEnd"/>
      <w:r w:rsidRPr="002A346C">
        <w:rPr>
          <w:i/>
          <w:szCs w:val="24"/>
        </w:rPr>
        <w:t xml:space="preserve"> sowie</w:t>
      </w:r>
      <w:r w:rsidR="002A346C">
        <w:rPr>
          <w:i/>
          <w:szCs w:val="24"/>
        </w:rPr>
        <w:t xml:space="preserve"> § 26 BBiG; ferner LAG Hamm NZA</w:t>
      </w:r>
      <w:r w:rsidR="002A346C">
        <w:rPr>
          <w:i/>
          <w:szCs w:val="24"/>
        </w:rPr>
        <w:noBreakHyphen/>
      </w:r>
      <w:r w:rsidRPr="002A346C">
        <w:rPr>
          <w:i/>
          <w:szCs w:val="24"/>
        </w:rPr>
        <w:t>R</w:t>
      </w:r>
      <w:r w:rsidR="002A346C">
        <w:rPr>
          <w:i/>
          <w:szCs w:val="24"/>
        </w:rPr>
        <w:t>R </w:t>
      </w:r>
      <w:r w:rsidRPr="002A346C">
        <w:rPr>
          <w:i/>
          <w:szCs w:val="24"/>
        </w:rPr>
        <w:t>2007, 97</w:t>
      </w:r>
    </w:p>
    <w:p w:rsidR="00AA3086" w:rsidRPr="00AA3086" w:rsidRDefault="00AA3086" w:rsidP="002740B3">
      <w:pPr>
        <w:ind w:left="2832"/>
        <w:jc w:val="both"/>
        <w:rPr>
          <w:szCs w:val="24"/>
        </w:rPr>
      </w:pPr>
    </w:p>
    <w:p w:rsidR="00AA3086" w:rsidRPr="002740B3" w:rsidRDefault="00AA3086" w:rsidP="002740B3">
      <w:pPr>
        <w:ind w:left="2832"/>
        <w:rPr>
          <w:b/>
        </w:rPr>
      </w:pPr>
      <w:r w:rsidRPr="002740B3">
        <w:rPr>
          <w:b/>
        </w:rPr>
        <w:t>Fall 3</w:t>
      </w:r>
      <w:r w:rsidR="002740B3" w:rsidRPr="002740B3">
        <w:rPr>
          <w:b/>
        </w:rPr>
        <w:t>:</w:t>
      </w:r>
    </w:p>
    <w:p w:rsidR="002740B3" w:rsidRDefault="002740B3" w:rsidP="00AA3086">
      <w:pPr>
        <w:ind w:left="2832"/>
        <w:jc w:val="both"/>
        <w:rPr>
          <w:szCs w:val="24"/>
        </w:rPr>
      </w:pPr>
    </w:p>
    <w:p w:rsidR="00AA3086" w:rsidRPr="00AA3086" w:rsidRDefault="00AA3086" w:rsidP="00AA3086">
      <w:pPr>
        <w:ind w:left="2832"/>
        <w:jc w:val="both"/>
        <w:rPr>
          <w:szCs w:val="24"/>
        </w:rPr>
      </w:pPr>
      <w:r w:rsidRPr="00AA3086">
        <w:rPr>
          <w:szCs w:val="24"/>
        </w:rPr>
        <w:t>Die Bäckereifachverkäuferin V bewirbt sich bei einer Großbäckerei, die eine Vielzahl von Filialen in den neuen Bundesländern unterhält. Da bei der Großbäckerei Not am Mann ist, wird V gebeten, möglichst gleich anzufangen. Da sie gerade arbeitslos ist, wird sie sofort ohne schriftlichen Arbeitsvertrag tätig. V arbeitet acht Wochen regelmäßig in einer Filiale in Berlin-Kreuzberg, ohne dass ihr der - bereits versprochene - schriftliche Arbeitsvertrag übersandt wird. Ende Juni 20</w:t>
      </w:r>
      <w:r w:rsidR="0080056F">
        <w:rPr>
          <w:szCs w:val="24"/>
        </w:rPr>
        <w:t>17</w:t>
      </w:r>
      <w:r w:rsidRPr="00AA3086">
        <w:rPr>
          <w:szCs w:val="24"/>
        </w:rPr>
        <w:t xml:space="preserve"> erkrankt V und stellte zu ihrem Erschrecken fest, dass sie bei der Krankenkasse nicht als Arbeitnehmerin sondern noch als Arbeitslose gemeldet ist. Die Großbäckerei hat V weder bei der Krankenkasse noch bei der Rentenversicherung angemeldet. Ist V sozialversichert? </w:t>
      </w:r>
    </w:p>
    <w:p w:rsidR="00AA3086" w:rsidRPr="00AA3086" w:rsidRDefault="00AA3086" w:rsidP="00AA3086">
      <w:pPr>
        <w:ind w:left="2832"/>
        <w:jc w:val="both"/>
        <w:rPr>
          <w:szCs w:val="24"/>
        </w:rPr>
      </w:pPr>
    </w:p>
    <w:p w:rsidR="002A346C" w:rsidRPr="002A346C" w:rsidRDefault="00AA3086" w:rsidP="00AA3086">
      <w:pPr>
        <w:ind w:left="2832"/>
        <w:jc w:val="both"/>
        <w:rPr>
          <w:b/>
          <w:i/>
          <w:szCs w:val="24"/>
        </w:rPr>
      </w:pPr>
      <w:r w:rsidRPr="002A346C">
        <w:rPr>
          <w:b/>
          <w:i/>
          <w:szCs w:val="24"/>
        </w:rPr>
        <w:t xml:space="preserve">§ 3 SGB IV: </w:t>
      </w:r>
    </w:p>
    <w:p w:rsidR="00AA3086" w:rsidRPr="002A346C" w:rsidRDefault="00AA3086" w:rsidP="00AA3086">
      <w:pPr>
        <w:ind w:left="2832"/>
        <w:jc w:val="both"/>
        <w:rPr>
          <w:i/>
          <w:szCs w:val="24"/>
        </w:rPr>
      </w:pPr>
      <w:r w:rsidRPr="002A346C">
        <w:rPr>
          <w:i/>
          <w:szCs w:val="24"/>
        </w:rPr>
        <w:t>Die Vorschriften über die Versicherungspflicht und die Versicherungsberechtigung gelten, 1. soweit sie eine Beschäftigung oder eine selbständige Tätigkeit voraussetzen, für alle Personen, die im Geltungsbereich dieses Gesetzbuches beschäftigt oder selbständig sind, ...</w:t>
      </w:r>
    </w:p>
    <w:p w:rsidR="00AA3086" w:rsidRPr="002A346C" w:rsidRDefault="00AA3086" w:rsidP="00AA3086">
      <w:pPr>
        <w:ind w:left="2832"/>
        <w:jc w:val="both"/>
        <w:rPr>
          <w:i/>
          <w:szCs w:val="24"/>
        </w:rPr>
      </w:pPr>
    </w:p>
    <w:p w:rsidR="002A346C" w:rsidRPr="002A346C" w:rsidRDefault="00AA3086" w:rsidP="00AA3086">
      <w:pPr>
        <w:ind w:left="2832"/>
        <w:jc w:val="both"/>
        <w:rPr>
          <w:b/>
          <w:i/>
          <w:szCs w:val="24"/>
        </w:rPr>
      </w:pPr>
      <w:r w:rsidRPr="002A346C">
        <w:rPr>
          <w:b/>
          <w:i/>
          <w:szCs w:val="24"/>
        </w:rPr>
        <w:t xml:space="preserve">§ 7 Abs. 1 SGB IV: </w:t>
      </w:r>
    </w:p>
    <w:p w:rsidR="00AA3086" w:rsidRPr="002A346C" w:rsidRDefault="00AA3086" w:rsidP="00AA3086">
      <w:pPr>
        <w:ind w:left="2832"/>
        <w:jc w:val="both"/>
        <w:rPr>
          <w:i/>
          <w:szCs w:val="24"/>
        </w:rPr>
      </w:pPr>
      <w:r w:rsidRPr="002A346C">
        <w:rPr>
          <w:i/>
          <w:szCs w:val="24"/>
        </w:rPr>
        <w:t xml:space="preserve">Beschäftigung ist die nicht selbständige Arbeit, insbesondere in einem Arbeitsverhältnis. Anhaltspunkte für eine Beschäftigung sind eine Tätigkeit nach Weisungen und eine Eingliederung in die Arbeitsorganisation des Weisungsgebers. </w:t>
      </w:r>
    </w:p>
    <w:p w:rsidR="00AA3086" w:rsidRPr="00AA3086" w:rsidRDefault="00AA3086" w:rsidP="00AA3086">
      <w:pPr>
        <w:ind w:left="2832"/>
        <w:jc w:val="both"/>
        <w:rPr>
          <w:szCs w:val="24"/>
        </w:rPr>
      </w:pPr>
    </w:p>
    <w:p w:rsidR="00AA3086" w:rsidRPr="002740B3" w:rsidRDefault="002740B3" w:rsidP="002740B3">
      <w:pPr>
        <w:ind w:left="2832"/>
        <w:rPr>
          <w:b/>
        </w:rPr>
      </w:pPr>
      <w:r>
        <w:rPr>
          <w:b/>
        </w:rPr>
        <w:t>Fall 4:</w:t>
      </w:r>
    </w:p>
    <w:p w:rsidR="002740B3" w:rsidRDefault="002740B3" w:rsidP="00AA3086">
      <w:pPr>
        <w:pStyle w:val="Textkrper"/>
        <w:spacing w:after="0"/>
        <w:ind w:left="2832"/>
        <w:jc w:val="both"/>
        <w:rPr>
          <w:szCs w:val="24"/>
        </w:rPr>
      </w:pPr>
    </w:p>
    <w:p w:rsidR="00AA3086" w:rsidRPr="00AA3086" w:rsidRDefault="00AA3086" w:rsidP="00AA3086">
      <w:pPr>
        <w:pStyle w:val="Textkrper"/>
        <w:spacing w:after="0"/>
        <w:ind w:left="2832"/>
        <w:jc w:val="both"/>
        <w:rPr>
          <w:szCs w:val="24"/>
        </w:rPr>
      </w:pPr>
      <w:r w:rsidRPr="00AA3086">
        <w:rPr>
          <w:szCs w:val="24"/>
        </w:rPr>
        <w:t xml:space="preserve">Ein aus der Türkei eingewandertes Ehepaar E zieht zu ihrem Großonkel O nach Mülheim/Ruhr. Auf Bitten des O arbeiten E in dem von O betriebenen Kebab-Stand regelmäßig drei bis vier Stunden am Tag. Eine Entlohnung erhalten E nicht, weil O ihnen verspricht, dass sie nach seinem Ableben den Kebab-Stand erben werden. Als O verstirbt, vermacht er sein gesamtes Vermögen seinen Kindern. E fechten erfolglos das Testament an </w:t>
      </w:r>
      <w:r w:rsidRPr="00AA3086">
        <w:rPr>
          <w:szCs w:val="24"/>
        </w:rPr>
        <w:lastRenderedPageBreak/>
        <w:t xml:space="preserve">und haben keine Erbansprüche gegen O. E erheben nunmehr arbeitsrechtliche Klage gegen die Erben auf Lohnzahlung. Nach § 1967 BGB haftet der Erbe für die Nachlassverbindlichkeiten. Besteht ein Anspruch auf Lohnzahlung für die Vergangenheit? </w:t>
      </w:r>
    </w:p>
    <w:p w:rsidR="00AA3086" w:rsidRPr="00AA3086" w:rsidRDefault="00AA3086" w:rsidP="00AA3086">
      <w:pPr>
        <w:pStyle w:val="Textkrper"/>
        <w:spacing w:after="0"/>
        <w:ind w:left="2832"/>
        <w:jc w:val="both"/>
        <w:rPr>
          <w:szCs w:val="24"/>
        </w:rPr>
      </w:pPr>
    </w:p>
    <w:p w:rsidR="002A346C" w:rsidRPr="002A346C" w:rsidRDefault="00AA3086" w:rsidP="00AA3086">
      <w:pPr>
        <w:pStyle w:val="Textkrper"/>
        <w:spacing w:after="0"/>
        <w:ind w:left="2832"/>
        <w:jc w:val="both"/>
        <w:rPr>
          <w:b/>
          <w:i/>
          <w:szCs w:val="24"/>
        </w:rPr>
      </w:pPr>
      <w:r w:rsidRPr="002A346C">
        <w:rPr>
          <w:b/>
          <w:i/>
          <w:szCs w:val="24"/>
        </w:rPr>
        <w:t xml:space="preserve">LAG Schleswig Holstein NZA-RR 2007, 9: </w:t>
      </w:r>
    </w:p>
    <w:p w:rsidR="00AA3086" w:rsidRPr="002A346C" w:rsidRDefault="00AA3086" w:rsidP="00AA3086">
      <w:pPr>
        <w:pStyle w:val="Textkrper"/>
        <w:spacing w:after="0"/>
        <w:ind w:left="2832"/>
        <w:jc w:val="both"/>
        <w:rPr>
          <w:i/>
          <w:szCs w:val="24"/>
        </w:rPr>
      </w:pPr>
      <w:r w:rsidRPr="002A346C">
        <w:rPr>
          <w:i/>
          <w:szCs w:val="24"/>
        </w:rPr>
        <w:t>Ob es sich bei der Arbeit eines Familienangehörigen um Mitarbeit auf familienrechtlicher Grundlage oder um eine Arbeitsleistung auf der Grundlage eines mündlich geschlossenen Arbeitsverhältnisses handelt, ist durch wertende Betrachtungsweise zu ermitteln (vgl. auch BAG NJW 1963,</w:t>
      </w:r>
      <w:r w:rsidR="002740B3" w:rsidRPr="002A346C">
        <w:rPr>
          <w:i/>
          <w:szCs w:val="24"/>
        </w:rPr>
        <w:t xml:space="preserve"> </w:t>
      </w:r>
      <w:r w:rsidRPr="002A346C">
        <w:rPr>
          <w:i/>
          <w:szCs w:val="24"/>
        </w:rPr>
        <w:t>2188).</w:t>
      </w:r>
    </w:p>
    <w:p w:rsidR="00AA3086" w:rsidRPr="00AA3086" w:rsidRDefault="00AA3086" w:rsidP="00AA3086">
      <w:pPr>
        <w:ind w:left="2832"/>
        <w:jc w:val="both"/>
        <w:rPr>
          <w:szCs w:val="24"/>
        </w:rPr>
      </w:pPr>
    </w:p>
    <w:p w:rsidR="00AA3086" w:rsidRPr="002740B3" w:rsidRDefault="00AA3086" w:rsidP="002740B3">
      <w:pPr>
        <w:ind w:left="2832"/>
        <w:rPr>
          <w:b/>
        </w:rPr>
      </w:pPr>
      <w:r w:rsidRPr="002740B3">
        <w:rPr>
          <w:b/>
        </w:rPr>
        <w:t xml:space="preserve">Fall </w:t>
      </w:r>
      <w:r w:rsidR="002A346C">
        <w:rPr>
          <w:b/>
        </w:rPr>
        <w:t>5</w:t>
      </w:r>
      <w:r w:rsidR="002740B3" w:rsidRPr="002740B3">
        <w:rPr>
          <w:b/>
        </w:rPr>
        <w:t>:</w:t>
      </w:r>
    </w:p>
    <w:p w:rsidR="002740B3" w:rsidRDefault="002740B3" w:rsidP="00AA3086">
      <w:pPr>
        <w:ind w:left="2832"/>
        <w:jc w:val="both"/>
        <w:rPr>
          <w:szCs w:val="24"/>
        </w:rPr>
      </w:pPr>
    </w:p>
    <w:p w:rsidR="00AA3086" w:rsidRPr="00AA3086" w:rsidRDefault="00AA3086" w:rsidP="00AA3086">
      <w:pPr>
        <w:ind w:left="2832"/>
        <w:jc w:val="both"/>
        <w:rPr>
          <w:szCs w:val="24"/>
        </w:rPr>
      </w:pPr>
      <w:r w:rsidRPr="00AA3086">
        <w:rPr>
          <w:szCs w:val="24"/>
        </w:rPr>
        <w:t xml:space="preserve">V ist seit 18 Jahren bei </w:t>
      </w:r>
      <w:proofErr w:type="gramStart"/>
      <w:r w:rsidRPr="00AA3086">
        <w:rPr>
          <w:szCs w:val="24"/>
        </w:rPr>
        <w:t>dem</w:t>
      </w:r>
      <w:proofErr w:type="gramEnd"/>
      <w:r w:rsidRPr="00AA3086">
        <w:rPr>
          <w:szCs w:val="24"/>
        </w:rPr>
        <w:t xml:space="preserve"> international tätigen DAX-Unternehmen M-AG mit Sitz in Düsseldorf beschäftigt. Seine Vorgesetzten bitten ihn darum, die Geschäftsführung für eine Tochter-GmbH mit Sitz in Cottbus zu übernehmen. V ist hiermit einverstanden und wird zum Geschäftsführer berufen. V möchte klären, ob er als Geschäftsführer einer GmbH den gleichen Kündigungsschutz wie als Arbeitnehmer  der M-AG genießt</w:t>
      </w:r>
      <w:r w:rsidR="00FB00A3">
        <w:rPr>
          <w:szCs w:val="24"/>
        </w:rPr>
        <w:t>, wenn etwa die Insolvenz der GmbH droht.</w:t>
      </w:r>
      <w:r w:rsidRPr="00AA3086">
        <w:rPr>
          <w:szCs w:val="24"/>
        </w:rPr>
        <w:t xml:space="preserve"> (vgl. § 14 Abs. 1 Nr. 1 KSchG). </w:t>
      </w:r>
    </w:p>
    <w:p w:rsidR="00AA3086" w:rsidRPr="00AA3086" w:rsidRDefault="00AA3086" w:rsidP="00AA3086">
      <w:pPr>
        <w:ind w:left="2832"/>
        <w:jc w:val="both"/>
        <w:rPr>
          <w:szCs w:val="24"/>
        </w:rPr>
      </w:pPr>
    </w:p>
    <w:p w:rsidR="002A346C" w:rsidRPr="002A346C" w:rsidRDefault="00AA3086" w:rsidP="00AA3086">
      <w:pPr>
        <w:ind w:left="2832"/>
        <w:jc w:val="both"/>
        <w:rPr>
          <w:b/>
          <w:i/>
          <w:szCs w:val="24"/>
        </w:rPr>
      </w:pPr>
      <w:r w:rsidRPr="002A346C">
        <w:rPr>
          <w:b/>
          <w:i/>
          <w:szCs w:val="24"/>
        </w:rPr>
        <w:t xml:space="preserve">BAG vom 26. August 2009 – 5 AZR 522/08: </w:t>
      </w:r>
    </w:p>
    <w:p w:rsidR="00AA3086" w:rsidRPr="002A346C" w:rsidRDefault="00FB00A3" w:rsidP="00AA3086">
      <w:pPr>
        <w:ind w:left="2832"/>
        <w:jc w:val="both"/>
        <w:rPr>
          <w:i/>
          <w:szCs w:val="24"/>
        </w:rPr>
      </w:pPr>
      <w:r>
        <w:rPr>
          <w:i/>
          <w:szCs w:val="24"/>
        </w:rPr>
        <w:t>Nur wenn die Parteien ausdrücklich</w:t>
      </w:r>
      <w:r w:rsidR="00AA3086" w:rsidRPr="002A346C">
        <w:rPr>
          <w:i/>
          <w:szCs w:val="24"/>
        </w:rPr>
        <w:t xml:space="preserve"> im Anschluss an ein Dienstverhältnis </w:t>
      </w:r>
      <w:r>
        <w:rPr>
          <w:i/>
          <w:szCs w:val="24"/>
        </w:rPr>
        <w:t xml:space="preserve">ein Arbeitsverhältnis </w:t>
      </w:r>
      <w:r w:rsidR="00AA3086" w:rsidRPr="002A346C">
        <w:rPr>
          <w:i/>
          <w:szCs w:val="24"/>
        </w:rPr>
        <w:t>wirksam ve</w:t>
      </w:r>
      <w:r>
        <w:rPr>
          <w:i/>
          <w:szCs w:val="24"/>
        </w:rPr>
        <w:t>reinbaren, ist V als AN bei der M AG wieder einzustellen.</w:t>
      </w:r>
    </w:p>
    <w:p w:rsidR="00AA3086" w:rsidRPr="00AA3086" w:rsidRDefault="00AA3086" w:rsidP="00AA3086">
      <w:pPr>
        <w:ind w:left="2832"/>
        <w:jc w:val="both"/>
        <w:rPr>
          <w:szCs w:val="24"/>
        </w:rPr>
      </w:pPr>
    </w:p>
    <w:p w:rsidR="00AA3086" w:rsidRPr="00AA3086" w:rsidRDefault="00AA3086" w:rsidP="00AA3086">
      <w:pPr>
        <w:ind w:left="2832"/>
        <w:jc w:val="both"/>
        <w:rPr>
          <w:szCs w:val="24"/>
        </w:rPr>
      </w:pPr>
      <w:r w:rsidRPr="00AA3086">
        <w:rPr>
          <w:szCs w:val="24"/>
        </w:rPr>
        <w:t xml:space="preserve">Exkurs: Sofern nach Beendigung der Organstellung das Arbeitsverhältnis aber zu unveränderten Bedingungen fortgeführt wird, liegt eine unzulässige Umgehung von § 84 Abs. 1 AktG vor. </w:t>
      </w:r>
      <w:bookmarkStart w:id="0" w:name="_GoBack"/>
      <w:bookmarkEnd w:id="0"/>
    </w:p>
    <w:p w:rsidR="00AA3086" w:rsidRDefault="00AA3086" w:rsidP="00AA3086">
      <w:pPr>
        <w:ind w:left="2832"/>
        <w:jc w:val="both"/>
        <w:rPr>
          <w:szCs w:val="24"/>
        </w:rPr>
      </w:pPr>
    </w:p>
    <w:p w:rsidR="003526F4" w:rsidRPr="003526F4" w:rsidRDefault="003526F4" w:rsidP="00AA3086">
      <w:pPr>
        <w:ind w:left="2832"/>
        <w:jc w:val="both"/>
        <w:rPr>
          <w:b/>
          <w:szCs w:val="24"/>
        </w:rPr>
      </w:pPr>
      <w:r w:rsidRPr="003526F4">
        <w:rPr>
          <w:b/>
          <w:szCs w:val="24"/>
        </w:rPr>
        <w:t xml:space="preserve">Zum Eigenstudium : </w:t>
      </w:r>
    </w:p>
    <w:p w:rsidR="003526F4" w:rsidRPr="003526F4" w:rsidRDefault="003526F4" w:rsidP="00AA3086">
      <w:pPr>
        <w:ind w:left="2832"/>
        <w:jc w:val="both"/>
        <w:rPr>
          <w:b/>
          <w:szCs w:val="24"/>
        </w:rPr>
      </w:pPr>
    </w:p>
    <w:p w:rsidR="00AA3086" w:rsidRPr="002740B3" w:rsidRDefault="00AA3086" w:rsidP="002740B3">
      <w:pPr>
        <w:ind w:left="2832"/>
        <w:rPr>
          <w:b/>
        </w:rPr>
      </w:pPr>
      <w:r w:rsidRPr="002740B3">
        <w:rPr>
          <w:b/>
        </w:rPr>
        <w:t xml:space="preserve">Fall </w:t>
      </w:r>
      <w:r w:rsidR="00AC6B01">
        <w:rPr>
          <w:b/>
        </w:rPr>
        <w:t>6</w:t>
      </w:r>
      <w:r w:rsidR="002740B3" w:rsidRPr="002740B3">
        <w:rPr>
          <w:b/>
        </w:rPr>
        <w:t>:</w:t>
      </w:r>
    </w:p>
    <w:p w:rsidR="002740B3" w:rsidRDefault="002740B3" w:rsidP="00AA3086">
      <w:pPr>
        <w:ind w:left="2832"/>
        <w:jc w:val="both"/>
        <w:rPr>
          <w:szCs w:val="24"/>
        </w:rPr>
      </w:pPr>
    </w:p>
    <w:p w:rsidR="00AA3086" w:rsidRDefault="00AA3086" w:rsidP="00AA3086">
      <w:pPr>
        <w:ind w:left="2832"/>
        <w:jc w:val="both"/>
        <w:rPr>
          <w:szCs w:val="24"/>
        </w:rPr>
      </w:pPr>
      <w:r w:rsidRPr="00AA3086">
        <w:rPr>
          <w:szCs w:val="24"/>
        </w:rPr>
        <w:t xml:space="preserve">A ist als Maschinenbauingenieur seit 15 Jahren bei der Firma K in Stuttgart beschäftigt. Diese entsendet A für zwei Jahre als Leiter ihres Werkes nach Australien. A schließt mit der dortigen Tochtergesellschaft – einer Limited nach australischem Recht – einen auf zwei Jahre befristeten Arbeitsvertrag ab. Regelungen über den deutschen Arbeitsvertrag werden nicht getroffen. Nach einem Jahr wird A aufgrund nachgewiesenen Verrats von Betriebs- und Geschäftsgeheimnissen von der australischen Limited wirksam gekündigt. Er möchte nunmehr sein Arbeitsverhältnis in Stuttgart wieder aufnehmen. Wie ist die Rechtslage? </w:t>
      </w:r>
    </w:p>
    <w:p w:rsidR="002A346C" w:rsidRPr="00AA3086" w:rsidRDefault="002A346C" w:rsidP="00AA3086">
      <w:pPr>
        <w:ind w:left="2832"/>
        <w:jc w:val="both"/>
        <w:rPr>
          <w:szCs w:val="24"/>
        </w:rPr>
      </w:pPr>
    </w:p>
    <w:p w:rsidR="002740B3" w:rsidRPr="002740B3" w:rsidRDefault="00AA3086" w:rsidP="00AA3086">
      <w:pPr>
        <w:ind w:left="2832"/>
        <w:jc w:val="both"/>
        <w:rPr>
          <w:b/>
          <w:i/>
          <w:szCs w:val="24"/>
        </w:rPr>
      </w:pPr>
      <w:r w:rsidRPr="002740B3">
        <w:rPr>
          <w:b/>
          <w:i/>
          <w:szCs w:val="24"/>
        </w:rPr>
        <w:lastRenderedPageBreak/>
        <w:t xml:space="preserve">BAG NZA 2005, S. 1411: </w:t>
      </w:r>
    </w:p>
    <w:p w:rsidR="00AA3086" w:rsidRPr="002740B3" w:rsidRDefault="00AA3086" w:rsidP="00AA3086">
      <w:pPr>
        <w:ind w:left="2832"/>
        <w:jc w:val="both"/>
        <w:rPr>
          <w:i/>
          <w:szCs w:val="24"/>
        </w:rPr>
      </w:pPr>
      <w:r w:rsidRPr="002740B3">
        <w:rPr>
          <w:i/>
          <w:szCs w:val="24"/>
        </w:rPr>
        <w:t xml:space="preserve">Bringen die Parteien ein Arbeitsverhältnis im Inland für die Dauer eines befristeten Arbeitsverhältnisses mit demselben Arbeitgeber zur Entsendung ins Ausland zum Ruhen, so leben die Rechte und Pflichten aus dem Ursprungsarbeitsverhältnis nach Fristablauf wieder auf. </w:t>
      </w:r>
    </w:p>
    <w:p w:rsidR="00AA3086" w:rsidRPr="005D78DB" w:rsidRDefault="00AA3086" w:rsidP="00AA3086">
      <w:pPr>
        <w:ind w:left="2832"/>
        <w:jc w:val="both"/>
        <w:rPr>
          <w:b/>
          <w:bCs/>
          <w:szCs w:val="24"/>
        </w:rPr>
      </w:pPr>
      <w:r w:rsidRPr="00AA3086">
        <w:rPr>
          <w:szCs w:val="24"/>
        </w:rPr>
        <w:br w:type="page"/>
      </w:r>
      <w:r w:rsidRPr="005D78DB">
        <w:rPr>
          <w:b/>
          <w:bCs/>
          <w:szCs w:val="24"/>
        </w:rPr>
        <w:lastRenderedPageBreak/>
        <w:t>II. Allgemeine Rechte und Pflichten</w:t>
      </w:r>
    </w:p>
    <w:p w:rsidR="00AA3086" w:rsidRPr="00AA3086" w:rsidRDefault="00AA3086" w:rsidP="00AA3086">
      <w:pPr>
        <w:ind w:left="2832"/>
        <w:jc w:val="both"/>
        <w:rPr>
          <w:szCs w:val="24"/>
        </w:rPr>
      </w:pPr>
    </w:p>
    <w:p w:rsidR="00AA3086" w:rsidRPr="005D78DB" w:rsidRDefault="00AA3086" w:rsidP="005D78DB">
      <w:pPr>
        <w:ind w:left="2832"/>
        <w:rPr>
          <w:b/>
        </w:rPr>
      </w:pPr>
      <w:r w:rsidRPr="005D78DB">
        <w:rPr>
          <w:b/>
        </w:rPr>
        <w:t>Fall 1</w:t>
      </w:r>
      <w:r w:rsidR="005D78DB" w:rsidRPr="005D78DB">
        <w:rPr>
          <w:b/>
        </w:rPr>
        <w:t>:</w:t>
      </w:r>
    </w:p>
    <w:p w:rsidR="005D78DB" w:rsidRDefault="005D78DB" w:rsidP="005D78DB">
      <w:pPr>
        <w:pStyle w:val="Textkrper-Zeileneinzug"/>
        <w:ind w:left="2832"/>
      </w:pPr>
    </w:p>
    <w:p w:rsidR="00AA3086" w:rsidRPr="00AA3086" w:rsidRDefault="00AA3086" w:rsidP="005D78DB">
      <w:pPr>
        <w:pStyle w:val="Textkrper-Zeileneinzug"/>
        <w:ind w:left="2832"/>
      </w:pPr>
      <w:r w:rsidRPr="00AA3086">
        <w:t xml:space="preserve">A ist als Maschinist bei einem Bauunternehmen tätig, in dem es häufig zu Diebstählen von Gegenständen kommt, die auf den Baustellen zurückgeblieben waren, wie z. B. Verkehrslenkungstafeln, Felsmeißel, Absperrzäune und Baustellenleuchten. Mit einem im Betrieb ausgehängten Information der Firmenleitung wurden die Arbeitnehmer darauf hingewiesen, dass alle </w:t>
      </w:r>
      <w:proofErr w:type="spellStart"/>
      <w:r w:rsidRPr="00AA3086">
        <w:t>verladbaren</w:t>
      </w:r>
      <w:proofErr w:type="spellEnd"/>
      <w:r w:rsidRPr="00AA3086">
        <w:t xml:space="preserve"> Geräte und Materialien, die nicht eingebaut oder fest montiert sind (Spindeln, Schilder, Baggerkübel, Felsmeißel usw.) mit zum Firmengelände zu bringen sind. Für den Fall der Zuwiderhandlung wurden Abmahnungen angekündigt. A lässt mehrmals nicht mehr benötigte Bauzäune und Spindeln auf Baustellen liegen, da sie aus seiner Sicht für das Bauunternehmen ohne wirtschaftlichen Wert seien. Das Bauunternehmen geht von einer Pflichtverletzung aus und will A abmahnen. Wie ist die Rechtslage?</w:t>
      </w:r>
    </w:p>
    <w:p w:rsidR="00AA3086" w:rsidRPr="00AA3086" w:rsidRDefault="00AA3086" w:rsidP="00AA3086">
      <w:pPr>
        <w:ind w:left="2832"/>
        <w:jc w:val="both"/>
        <w:rPr>
          <w:szCs w:val="24"/>
        </w:rPr>
      </w:pPr>
    </w:p>
    <w:p w:rsidR="00AA3086" w:rsidRPr="005D78DB" w:rsidRDefault="00AA3086" w:rsidP="005D78DB">
      <w:pPr>
        <w:ind w:left="2832"/>
        <w:rPr>
          <w:b/>
        </w:rPr>
      </w:pPr>
      <w:r w:rsidRPr="005D78DB">
        <w:rPr>
          <w:b/>
        </w:rPr>
        <w:t>Fall 2</w:t>
      </w:r>
      <w:r w:rsidR="005D78DB" w:rsidRPr="005D78DB">
        <w:rPr>
          <w:b/>
        </w:rPr>
        <w:t>:</w:t>
      </w:r>
    </w:p>
    <w:p w:rsidR="005D78DB" w:rsidRDefault="005D78DB" w:rsidP="00AA3086">
      <w:pPr>
        <w:ind w:left="2832"/>
        <w:jc w:val="both"/>
        <w:rPr>
          <w:szCs w:val="24"/>
        </w:rPr>
      </w:pPr>
    </w:p>
    <w:p w:rsidR="00AA3086" w:rsidRPr="00AA3086" w:rsidRDefault="00AA3086" w:rsidP="00AA3086">
      <w:pPr>
        <w:ind w:left="2832"/>
        <w:jc w:val="both"/>
        <w:rPr>
          <w:szCs w:val="24"/>
        </w:rPr>
      </w:pPr>
      <w:r w:rsidRPr="00AA3086">
        <w:rPr>
          <w:szCs w:val="24"/>
        </w:rPr>
        <w:t>Der K erscheint zum wiederholten Mal verspätet zur Arbeit. Er hat wegen vergleichbarer Verstöße bereits zwei Abmahnungen erhalten. Als K am 4. April 2011 wieder 40 Minuten zu spät zur Arbeit erscheint, erhält er wegen dieses Verstoßes eine Abmahnung und zugleich eine fristgemäße verhaltensbedingte Kündigung. K erhebt Kündigungsschutzklage.</w:t>
      </w:r>
    </w:p>
    <w:p w:rsidR="00AA3086" w:rsidRPr="00AA3086" w:rsidRDefault="00AA3086" w:rsidP="00AA3086">
      <w:pPr>
        <w:ind w:left="2832"/>
        <w:jc w:val="both"/>
        <w:rPr>
          <w:szCs w:val="24"/>
        </w:rPr>
      </w:pPr>
    </w:p>
    <w:p w:rsidR="005D78DB" w:rsidRPr="005D78DB" w:rsidRDefault="00AA3086" w:rsidP="00AA3086">
      <w:pPr>
        <w:ind w:left="2832"/>
        <w:jc w:val="both"/>
        <w:rPr>
          <w:b/>
          <w:i/>
          <w:szCs w:val="24"/>
        </w:rPr>
      </w:pPr>
      <w:r w:rsidRPr="005D78DB">
        <w:rPr>
          <w:b/>
          <w:i/>
          <w:szCs w:val="24"/>
        </w:rPr>
        <w:t>Urteil BAG vom 26.11.2009 – 2 AZR 751/08:</w:t>
      </w:r>
    </w:p>
    <w:p w:rsidR="00AA3086" w:rsidRPr="005D78DB" w:rsidRDefault="00AA3086" w:rsidP="00AA3086">
      <w:pPr>
        <w:ind w:left="2832"/>
        <w:jc w:val="both"/>
        <w:rPr>
          <w:i/>
          <w:szCs w:val="24"/>
        </w:rPr>
      </w:pPr>
      <w:r w:rsidRPr="005D78DB">
        <w:rPr>
          <w:i/>
          <w:szCs w:val="24"/>
        </w:rPr>
        <w:t xml:space="preserve">Spricht der Arbeitgeber wegen einer bestimmten Vertragspflichtverletzung eine Abmahnung aus, so kann er wegen des darin gerügten Verhaltens des Arbeitnehmers das Arbeitsverhältnis nicht mehr – außerordentlich oder ordentlich – kündigen. </w:t>
      </w:r>
    </w:p>
    <w:p w:rsidR="00AA3086" w:rsidRPr="005D78DB" w:rsidRDefault="00AA3086" w:rsidP="00AA3086">
      <w:pPr>
        <w:ind w:left="2832"/>
        <w:jc w:val="both"/>
        <w:rPr>
          <w:i/>
          <w:szCs w:val="24"/>
        </w:rPr>
      </w:pPr>
    </w:p>
    <w:p w:rsidR="00AA3086" w:rsidRPr="005D78DB" w:rsidRDefault="00AA3086" w:rsidP="00AA3086">
      <w:pPr>
        <w:ind w:left="2832"/>
        <w:jc w:val="both"/>
        <w:rPr>
          <w:i/>
          <w:szCs w:val="24"/>
        </w:rPr>
      </w:pPr>
      <w:r w:rsidRPr="005D78DB">
        <w:rPr>
          <w:i/>
          <w:szCs w:val="24"/>
        </w:rPr>
        <w:t xml:space="preserve">Treten anschließend weitere Pflichtverletzungen zu den abgemahnten hinzu oder werden frühere Pflichtverletzungen dem Arbeitgeber erst nach Ausspruch der Abmahnung bekannt, kann er auf diese zur Begründung einer Kündigung zurückgreifen und dabei die bereits abgemahnten Verstöße unterstützend heranziehen. </w:t>
      </w:r>
    </w:p>
    <w:p w:rsidR="00AA3086" w:rsidRPr="00AA3086" w:rsidRDefault="00AA3086" w:rsidP="00AA3086">
      <w:pPr>
        <w:ind w:left="2832"/>
        <w:jc w:val="both"/>
        <w:rPr>
          <w:szCs w:val="24"/>
        </w:rPr>
      </w:pPr>
    </w:p>
    <w:p w:rsidR="00AA3086" w:rsidRPr="002D63EE" w:rsidRDefault="00AA3086" w:rsidP="002D63EE">
      <w:pPr>
        <w:ind w:left="2832"/>
        <w:rPr>
          <w:b/>
        </w:rPr>
      </w:pPr>
      <w:r w:rsidRPr="002D63EE">
        <w:rPr>
          <w:b/>
        </w:rPr>
        <w:t xml:space="preserve">Fall </w:t>
      </w:r>
      <w:r w:rsidR="002A346C">
        <w:rPr>
          <w:b/>
        </w:rPr>
        <w:t>3</w:t>
      </w:r>
      <w:r w:rsidR="002D63EE">
        <w:rPr>
          <w:b/>
        </w:rPr>
        <w:t>:</w:t>
      </w:r>
    </w:p>
    <w:p w:rsidR="002D63EE" w:rsidRDefault="002D63EE" w:rsidP="00AA3086">
      <w:pPr>
        <w:ind w:left="2832"/>
        <w:jc w:val="both"/>
        <w:rPr>
          <w:szCs w:val="24"/>
        </w:rPr>
      </w:pPr>
    </w:p>
    <w:p w:rsidR="00AA3086" w:rsidRPr="00AA3086" w:rsidRDefault="00AA3086" w:rsidP="00AA3086">
      <w:pPr>
        <w:ind w:left="2832"/>
        <w:jc w:val="both"/>
        <w:rPr>
          <w:szCs w:val="24"/>
        </w:rPr>
      </w:pPr>
      <w:r w:rsidRPr="00AA3086">
        <w:rPr>
          <w:szCs w:val="24"/>
        </w:rPr>
        <w:t xml:space="preserve">T ist Bundestrainer beim Deutschen Leichtathletikverband. Kurz vor Beginn der Leichtathletik-Weltmeisterschaften in Berlin entsteht das Gerücht, dass er als Jugendtrainer zu DDR-Zeiten minderjährigen Athleten Dopingpräparate empfohlen haben soll. Der Deutsche Leichtathletikverband will die Vorwürfe nach der </w:t>
      </w:r>
      <w:r w:rsidRPr="00AA3086">
        <w:rPr>
          <w:szCs w:val="24"/>
        </w:rPr>
        <w:lastRenderedPageBreak/>
        <w:t xml:space="preserve">WM überprüfen und suspendiert T vorerst von der Teilnahme an der WM. T ist der Meinung, er hat einen Anspruch auf Teilnahme an der WM und möchte diesen gegebenenfalls durch einstweilige Verfügung durchsetzen. Der Deutsche Leichtathletikverband ist der Auffassung, T habe keinen Anspruch, als Trainer beschäftigt zu werden, solange ihm sein Gehalt weiter gezahlt werde. Wie ist die Rechtslage? </w:t>
      </w:r>
    </w:p>
    <w:p w:rsidR="00AA3086" w:rsidRPr="00AA3086" w:rsidRDefault="00AA3086" w:rsidP="00AA3086">
      <w:pPr>
        <w:ind w:left="2832"/>
        <w:jc w:val="both"/>
        <w:rPr>
          <w:szCs w:val="24"/>
        </w:rPr>
      </w:pPr>
    </w:p>
    <w:p w:rsidR="005D78DB" w:rsidRPr="005D78DB" w:rsidRDefault="00AA3086" w:rsidP="00AA3086">
      <w:pPr>
        <w:ind w:left="2832"/>
        <w:jc w:val="both"/>
        <w:rPr>
          <w:b/>
          <w:i/>
          <w:szCs w:val="24"/>
        </w:rPr>
      </w:pPr>
      <w:r w:rsidRPr="005D78DB">
        <w:rPr>
          <w:b/>
          <w:i/>
          <w:szCs w:val="24"/>
        </w:rPr>
        <w:t xml:space="preserve">LAG Hamm NZA-RR 2008, S. 464: </w:t>
      </w:r>
    </w:p>
    <w:p w:rsidR="00AA3086" w:rsidRPr="005D78DB" w:rsidRDefault="00AA3086" w:rsidP="00AA3086">
      <w:pPr>
        <w:ind w:left="2832"/>
        <w:jc w:val="both"/>
        <w:rPr>
          <w:i/>
          <w:szCs w:val="24"/>
        </w:rPr>
      </w:pPr>
      <w:r w:rsidRPr="005D78DB">
        <w:rPr>
          <w:i/>
          <w:szCs w:val="24"/>
        </w:rPr>
        <w:t>Ein Arbeitnehmer hat gegen den Arbeitgeber nicht nur einen Anspruch auf Zahlung des vertragsgemäßen Arbeitsentgelts, sondern kann darüber hinaus auch seine tatsächliche Beschäftigung gerichtlich – in besonderen Fällen durch einstweilige Verfügung – durchsetzen. Die Entscheidung, einen Trainer nicht in ein Betreuerteam für Olympische Spiele/Weltmeisterschaften aufzunehmen, ist nach billigem Ermessen entsprechend § 106 GewO zu treffen (siehe ferner BAG Der Betrieb 1977, S. 2099).</w:t>
      </w:r>
    </w:p>
    <w:p w:rsidR="00AA3086" w:rsidRPr="00AA3086" w:rsidRDefault="00AA3086" w:rsidP="00AA3086">
      <w:pPr>
        <w:ind w:left="2832"/>
        <w:jc w:val="both"/>
        <w:rPr>
          <w:szCs w:val="24"/>
        </w:rPr>
      </w:pPr>
    </w:p>
    <w:p w:rsidR="00AA3086" w:rsidRDefault="00AA3086" w:rsidP="002D63EE">
      <w:pPr>
        <w:ind w:left="2832"/>
        <w:rPr>
          <w:b/>
        </w:rPr>
      </w:pPr>
      <w:r w:rsidRPr="002D63EE">
        <w:rPr>
          <w:b/>
        </w:rPr>
        <w:t xml:space="preserve">Fall </w:t>
      </w:r>
      <w:r w:rsidR="002A346C">
        <w:rPr>
          <w:b/>
        </w:rPr>
        <w:t>4</w:t>
      </w:r>
      <w:r w:rsidR="002D63EE">
        <w:rPr>
          <w:b/>
        </w:rPr>
        <w:t>:</w:t>
      </w:r>
    </w:p>
    <w:p w:rsidR="002D63EE" w:rsidRPr="002D63EE" w:rsidRDefault="002D63EE" w:rsidP="002D63EE">
      <w:pPr>
        <w:ind w:left="2832"/>
      </w:pPr>
    </w:p>
    <w:p w:rsidR="00AA3086" w:rsidRDefault="00AA3086" w:rsidP="00AA3086">
      <w:pPr>
        <w:ind w:left="2832"/>
        <w:jc w:val="both"/>
        <w:rPr>
          <w:szCs w:val="24"/>
        </w:rPr>
      </w:pPr>
      <w:r w:rsidRPr="00AA3086">
        <w:rPr>
          <w:szCs w:val="24"/>
        </w:rPr>
        <w:t>L ist seit 3 Jahren Lehrer an einer Privatschule. Er unterrichtet regelmäßig von Montag bis Freitag. Die Schule beschließt, auch am Samstag bis 14:00 Uhr zu unterrichten. Im Arbeitsvertrag von L sind keine konkreten Arbeitstage sondern nur der Gesamtumfang von 26 Unterrichtsstunden genannt. Ist der Arbeitgeber berechtigt, L anzuweisen am Samstag 5 Stunden zu unterrichten?</w:t>
      </w:r>
    </w:p>
    <w:p w:rsidR="005D78DB" w:rsidRPr="00AA3086" w:rsidRDefault="005D78DB" w:rsidP="00AA3086">
      <w:pPr>
        <w:ind w:left="2832"/>
        <w:jc w:val="both"/>
        <w:rPr>
          <w:szCs w:val="24"/>
        </w:rPr>
      </w:pPr>
    </w:p>
    <w:p w:rsidR="002D63EE" w:rsidRPr="002D63EE" w:rsidRDefault="005D78DB" w:rsidP="005D78DB">
      <w:pPr>
        <w:ind w:left="2832"/>
        <w:jc w:val="both"/>
        <w:rPr>
          <w:b/>
          <w:i/>
          <w:szCs w:val="24"/>
        </w:rPr>
      </w:pPr>
      <w:r w:rsidRPr="002D63EE">
        <w:rPr>
          <w:b/>
          <w:i/>
          <w:szCs w:val="24"/>
        </w:rPr>
        <w:t xml:space="preserve">BAG NZA 2005, S. 359: </w:t>
      </w:r>
    </w:p>
    <w:p w:rsidR="005D78DB" w:rsidRPr="002D63EE" w:rsidRDefault="005D78DB" w:rsidP="005D78DB">
      <w:pPr>
        <w:ind w:left="2832"/>
        <w:jc w:val="both"/>
        <w:rPr>
          <w:i/>
          <w:szCs w:val="24"/>
        </w:rPr>
      </w:pPr>
      <w:r w:rsidRPr="002D63EE">
        <w:rPr>
          <w:i/>
          <w:szCs w:val="24"/>
        </w:rPr>
        <w:t xml:space="preserve">Gemäß § 106 Satz 1 GewO darf das Direktionsrecht vom Arbeitgeber nur nach billigem Ermessen ausgeübt werden. Dies bedeutet, dass bei der Ausübung des Direktionsrechts alle Umstände des Falles abgewogen und die beiderseitigen Interessen angemessen zu berücksichtigen sind. Im Rahmen der Interessenabwägung sind insbesondere Grundrechte der Arbeitnehmer zu berücksichtigen. Werden diese nicht tangiert, geht grundsätzlich das betriebliche Interesse des Arbeitgebers vor. </w:t>
      </w:r>
    </w:p>
    <w:p w:rsidR="00AA3086" w:rsidRPr="00AA3086" w:rsidRDefault="00AA3086" w:rsidP="00AA3086">
      <w:pPr>
        <w:ind w:left="2832"/>
        <w:jc w:val="both"/>
        <w:rPr>
          <w:szCs w:val="24"/>
        </w:rPr>
      </w:pPr>
    </w:p>
    <w:p w:rsidR="002D63EE" w:rsidRPr="002D63EE" w:rsidRDefault="00AA3086" w:rsidP="00AA3086">
      <w:pPr>
        <w:ind w:left="2832"/>
        <w:jc w:val="both"/>
        <w:rPr>
          <w:b/>
          <w:i/>
          <w:szCs w:val="24"/>
        </w:rPr>
      </w:pPr>
      <w:r w:rsidRPr="002D63EE">
        <w:rPr>
          <w:b/>
          <w:i/>
          <w:szCs w:val="24"/>
        </w:rPr>
        <w:t xml:space="preserve">BAG NZA-RR 2008, S. 129: </w:t>
      </w:r>
    </w:p>
    <w:p w:rsidR="00AA3086" w:rsidRPr="002D63EE" w:rsidRDefault="00AA3086" w:rsidP="00AA3086">
      <w:pPr>
        <w:ind w:left="2832"/>
        <w:jc w:val="both"/>
        <w:rPr>
          <w:i/>
          <w:szCs w:val="24"/>
        </w:rPr>
      </w:pPr>
      <w:r w:rsidRPr="002D63EE">
        <w:rPr>
          <w:i/>
          <w:szCs w:val="24"/>
        </w:rPr>
        <w:t xml:space="preserve">Nach § 106 GewO darf der Arbeitgeber die Arbeitsleistung nach billigem Ermessen näher bestimmen. Ist die Erweiterung des Bestimmungsrechts in einem vom Arbeitgeber aufgestellten Formulararbeitsvertrag erfolgt, ist zunächst zu klären, ob die Einräumung des Bestimmungsrechts eine unangemessene Benachteiligung im Sinne von § 307 BGB ist. In einem zweiten Schritt ist zu prüfen, ob der Arbeitgeber in einer Art und Weise von der Ermächtigung Gebrauch gemacht hat, die der Billigkeit entspricht. </w:t>
      </w:r>
      <w:r w:rsidR="00362FED">
        <w:rPr>
          <w:i/>
          <w:szCs w:val="24"/>
        </w:rPr>
        <w:t>, (ferner zum Direktionsrecht bei Arbeitszeit siehe § 307 BGB § 106 GewO)</w:t>
      </w:r>
    </w:p>
    <w:p w:rsidR="00AA3086" w:rsidRDefault="00AA3086" w:rsidP="00AA3086">
      <w:pPr>
        <w:ind w:left="2832"/>
        <w:jc w:val="both"/>
        <w:rPr>
          <w:szCs w:val="24"/>
        </w:rPr>
      </w:pPr>
    </w:p>
    <w:p w:rsidR="00AA3086" w:rsidRPr="002D63EE" w:rsidRDefault="00AA3086" w:rsidP="002D63EE">
      <w:pPr>
        <w:ind w:left="2832"/>
        <w:rPr>
          <w:b/>
        </w:rPr>
      </w:pPr>
      <w:r w:rsidRPr="002D63EE">
        <w:rPr>
          <w:b/>
        </w:rPr>
        <w:t xml:space="preserve">Fall </w:t>
      </w:r>
      <w:r w:rsidR="002A346C">
        <w:rPr>
          <w:b/>
        </w:rPr>
        <w:t>5</w:t>
      </w:r>
      <w:r w:rsidR="002D63EE" w:rsidRPr="002D63EE">
        <w:rPr>
          <w:b/>
        </w:rPr>
        <w:t>:</w:t>
      </w:r>
    </w:p>
    <w:p w:rsidR="002D63EE" w:rsidRDefault="002D63EE" w:rsidP="00AA3086">
      <w:pPr>
        <w:ind w:left="2832"/>
        <w:jc w:val="both"/>
        <w:rPr>
          <w:szCs w:val="24"/>
        </w:rPr>
      </w:pPr>
    </w:p>
    <w:p w:rsidR="00AA3086" w:rsidRPr="00AA3086" w:rsidRDefault="00AA3086" w:rsidP="00AA3086">
      <w:pPr>
        <w:ind w:left="2832"/>
        <w:jc w:val="both"/>
        <w:rPr>
          <w:szCs w:val="24"/>
        </w:rPr>
      </w:pPr>
      <w:r w:rsidRPr="00AA3086">
        <w:rPr>
          <w:szCs w:val="24"/>
        </w:rPr>
        <w:t>A ist seit 2005 bei X beschäftigt. Bis Sommer 201</w:t>
      </w:r>
      <w:r w:rsidR="007A31BD">
        <w:rPr>
          <w:szCs w:val="24"/>
        </w:rPr>
        <w:t>9</w:t>
      </w:r>
      <w:r w:rsidRPr="00AA3086">
        <w:rPr>
          <w:szCs w:val="24"/>
        </w:rPr>
        <w:t xml:space="preserve"> zahlte X ein zusätzliches Urlaubsgeld in Höhe eines Bruttogehaltes. Eine schriftliche vertragliche Vereinbarung hierüber bestand nicht. X teilt den Mitarbeitern im Oktober 201</w:t>
      </w:r>
      <w:r w:rsidR="007A31BD">
        <w:rPr>
          <w:szCs w:val="24"/>
        </w:rPr>
        <w:t>9</w:t>
      </w:r>
      <w:r w:rsidRPr="00AA3086">
        <w:rPr>
          <w:szCs w:val="24"/>
        </w:rPr>
        <w:t xml:space="preserve"> mit, dass aus wirtschaftlichen Gründen kein Urlaubsgeld mehr gezahlt werden könne. Hat A Anspruch auf Urlaubsgeld? </w:t>
      </w:r>
    </w:p>
    <w:p w:rsidR="00AA3086" w:rsidRDefault="00AA3086" w:rsidP="00AA3086">
      <w:pPr>
        <w:ind w:left="2832"/>
        <w:jc w:val="both"/>
        <w:rPr>
          <w:szCs w:val="24"/>
        </w:rPr>
      </w:pPr>
    </w:p>
    <w:p w:rsidR="002D63EE" w:rsidRPr="002D63EE" w:rsidRDefault="00AA3086" w:rsidP="00AA3086">
      <w:pPr>
        <w:pStyle w:val="Textkrper"/>
        <w:spacing w:after="0"/>
        <w:ind w:left="2832"/>
        <w:jc w:val="both"/>
        <w:rPr>
          <w:b/>
          <w:i/>
          <w:szCs w:val="24"/>
        </w:rPr>
      </w:pPr>
      <w:r w:rsidRPr="002D63EE">
        <w:rPr>
          <w:b/>
          <w:i/>
          <w:szCs w:val="24"/>
        </w:rPr>
        <w:t xml:space="preserve">LAG Köln NZA-RR 2006, S. 633: </w:t>
      </w:r>
    </w:p>
    <w:p w:rsidR="00AA3086" w:rsidRPr="002D63EE" w:rsidRDefault="00AA3086" w:rsidP="00AA3086">
      <w:pPr>
        <w:pStyle w:val="Textkrper"/>
        <w:spacing w:after="0"/>
        <w:ind w:left="2832"/>
        <w:jc w:val="both"/>
        <w:rPr>
          <w:i/>
          <w:szCs w:val="24"/>
        </w:rPr>
      </w:pPr>
      <w:r w:rsidRPr="002D63EE">
        <w:rPr>
          <w:i/>
          <w:szCs w:val="24"/>
        </w:rPr>
        <w:t xml:space="preserve">Ein Anspruch auf Bezahlung von Urlaubs- oder Pausenzeiten kann durch betriebliche Übung begründet werden. Das gleichförmige und wiederholte Verhalten des Arbeitgebers begründet eine schuldrechtliche Verpflichtung (sog. Vertragstheorie, BAG NZA 2007, S. 1293). Ob ein Arbeitnehmer aus dem Verhalten des Arbeitgebers – unter Berücksichtigung von Treu und Glauben sowie der Verkehrssitte nach § 242 BGB und der Begleitumstände – auf einen Bindungswillen des Arbeitgebers schließen darf, ist wesentliche Voraussetzung für das Entstehen einer betrieblichen Übung und damit Indiz für eine Art Vertrauenshaftung (BAG NZA 1999, S. 1162). </w:t>
      </w:r>
    </w:p>
    <w:p w:rsidR="00AA3086" w:rsidRPr="00AA3086" w:rsidRDefault="00AA3086" w:rsidP="00AA3086">
      <w:pPr>
        <w:pStyle w:val="Textkrper"/>
        <w:spacing w:after="0"/>
        <w:ind w:left="2832"/>
        <w:jc w:val="both"/>
        <w:rPr>
          <w:szCs w:val="24"/>
        </w:rPr>
      </w:pPr>
    </w:p>
    <w:p w:rsidR="00AA3086" w:rsidRPr="002D63EE" w:rsidRDefault="00AA3086" w:rsidP="00AA3086">
      <w:pPr>
        <w:pStyle w:val="Textkrper"/>
        <w:spacing w:after="0"/>
        <w:ind w:left="2832"/>
        <w:jc w:val="both"/>
        <w:rPr>
          <w:b/>
          <w:i/>
          <w:szCs w:val="24"/>
        </w:rPr>
      </w:pPr>
      <w:r w:rsidRPr="002D63EE">
        <w:rPr>
          <w:b/>
          <w:i/>
          <w:szCs w:val="24"/>
        </w:rPr>
        <w:t xml:space="preserve">BAG NZA-RR 2010, S. 293: </w:t>
      </w:r>
    </w:p>
    <w:p w:rsidR="00AA3086" w:rsidRPr="002D63EE" w:rsidRDefault="00AA3086" w:rsidP="00AA3086">
      <w:pPr>
        <w:pStyle w:val="Textkrper"/>
        <w:spacing w:after="0"/>
        <w:ind w:left="2832"/>
        <w:jc w:val="both"/>
        <w:rPr>
          <w:i/>
          <w:szCs w:val="24"/>
        </w:rPr>
      </w:pPr>
      <w:r w:rsidRPr="002D63EE">
        <w:rPr>
          <w:i/>
          <w:szCs w:val="24"/>
        </w:rPr>
        <w:t xml:space="preserve">1. Unter einer betrieblichen Übung ist die regelmäßige Wiederholung bestimmter Verhaltensweisen des Arbeitgebers zu verstehen, aus denen die Arbeitnehmer schließen dürfen, ihnen solle eine Leistung oder Vergünstigung auf Dauer gewährt werden. Die Entstehung des Anspruchs setzt nicht voraus, dass der Arbeitgeber einen Verpflichtungswillen hat. Maßgeblich ist, wie die Erklärungsempfänger die Erklärung über das Verhalten des Arbeitgebers nach Treu und Glauben und unter Berücksichtigung aller Begleitumstände verstehen müssen. </w:t>
      </w:r>
    </w:p>
    <w:p w:rsidR="00AA3086" w:rsidRPr="002D63EE" w:rsidRDefault="00AA3086" w:rsidP="00AA3086">
      <w:pPr>
        <w:pStyle w:val="Textkrper"/>
        <w:spacing w:after="0"/>
        <w:ind w:left="2832"/>
        <w:jc w:val="both"/>
        <w:rPr>
          <w:i/>
          <w:szCs w:val="24"/>
        </w:rPr>
      </w:pPr>
      <w:r w:rsidRPr="002D63EE">
        <w:rPr>
          <w:i/>
          <w:szCs w:val="24"/>
        </w:rPr>
        <w:t xml:space="preserve">2. Ein solcher Anspruch aus betrieblicher Übung kann auch dann entstehen, wenn die an eine Reihe von Arbeitnehmern geleisteten Zahlungen den übrigen Arbeitnehmern nicht mitgeteilt und im Betrieb nicht allgemein veröffentlicht werden. Es ist von dem </w:t>
      </w:r>
      <w:r w:rsidR="002D63EE" w:rsidRPr="002D63EE">
        <w:rPr>
          <w:i/>
          <w:szCs w:val="24"/>
        </w:rPr>
        <w:t>allgemeinen</w:t>
      </w:r>
      <w:r w:rsidRPr="002D63EE">
        <w:rPr>
          <w:i/>
          <w:szCs w:val="24"/>
        </w:rPr>
        <w:t xml:space="preserve"> Erfahrungssatz auszugehen, dass solche begünstigenden Leistungen der Belegschaft bekannt werden. </w:t>
      </w:r>
    </w:p>
    <w:p w:rsidR="00AA3086" w:rsidRPr="002D63EE" w:rsidRDefault="00AA3086" w:rsidP="00AA3086">
      <w:pPr>
        <w:pStyle w:val="Textkrper"/>
        <w:spacing w:after="0"/>
        <w:ind w:left="2832"/>
        <w:jc w:val="both"/>
        <w:rPr>
          <w:i/>
          <w:szCs w:val="24"/>
        </w:rPr>
      </w:pPr>
      <w:r w:rsidRPr="002D63EE">
        <w:rPr>
          <w:i/>
          <w:szCs w:val="24"/>
        </w:rPr>
        <w:t>3. Eine Gesamtzusage ist dagegen die an alle Arbeitnehmer des Betriebes oder eine</w:t>
      </w:r>
      <w:r w:rsidR="002D63EE">
        <w:rPr>
          <w:i/>
          <w:szCs w:val="24"/>
        </w:rPr>
        <w:t>,</w:t>
      </w:r>
      <w:r w:rsidRPr="002D63EE">
        <w:rPr>
          <w:i/>
          <w:szCs w:val="24"/>
        </w:rPr>
        <w:t xml:space="preserve"> nach abstrakten Merkmalen</w:t>
      </w:r>
      <w:r w:rsidR="002D63EE">
        <w:rPr>
          <w:i/>
          <w:szCs w:val="24"/>
        </w:rPr>
        <w:t>,</w:t>
      </w:r>
      <w:r w:rsidRPr="002D63EE">
        <w:rPr>
          <w:i/>
          <w:szCs w:val="24"/>
        </w:rPr>
        <w:t xml:space="preserve"> bestimmten Teilen von ihnen in allgemeiner Form gerichtete Erklärung des Arbeitgebers, zusätzliche Leistungen zu erbringen. Gesamtzusagen werden bereits dann wirksam, wenn sie in einer Weise geäußert werden, die es dem einzelnen Arbeitnehmer typischerweise erlaubt, von der Erklärung Kenntnis zu nehmen (hier: Anspruch auf Ausgleichszahlungen bei Beendigung des Arbeitsverhältnisses zwischen dem 60. und 63. Lebensjahr).</w:t>
      </w:r>
    </w:p>
    <w:p w:rsidR="00AA3086" w:rsidRPr="002D63EE" w:rsidRDefault="00AA3086" w:rsidP="00AA3086">
      <w:pPr>
        <w:pStyle w:val="Textkrper"/>
        <w:spacing w:after="0"/>
        <w:ind w:left="2832"/>
        <w:jc w:val="both"/>
        <w:rPr>
          <w:i/>
          <w:szCs w:val="24"/>
        </w:rPr>
      </w:pPr>
      <w:r w:rsidRPr="002D63EE">
        <w:rPr>
          <w:i/>
          <w:szCs w:val="24"/>
        </w:rPr>
        <w:t xml:space="preserve">Voraussetzung für das Entstehen einer gegenläufigen betrieblichen Übung ist, dass sich die Veränderung unmittelbar </w:t>
      </w:r>
      <w:r w:rsidRPr="002D63EE">
        <w:rPr>
          <w:i/>
          <w:szCs w:val="24"/>
        </w:rPr>
        <w:lastRenderedPageBreak/>
        <w:t>auswirkt und der Arbeitnehmer in Kenntnis dieser Auswirkung weiterarbeitet, obwohl ein ausdrücklicher Widerspruch zu erwarten gewesen wäre (vgl. ferner BAG NZA 2005, S. 349).</w:t>
      </w:r>
    </w:p>
    <w:p w:rsidR="00AA3086" w:rsidRDefault="00AA3086" w:rsidP="00AA3086">
      <w:pPr>
        <w:pStyle w:val="Textkrper"/>
        <w:spacing w:after="0"/>
        <w:ind w:left="2832"/>
        <w:jc w:val="both"/>
        <w:rPr>
          <w:szCs w:val="24"/>
        </w:rPr>
      </w:pPr>
    </w:p>
    <w:p w:rsidR="002D63EE" w:rsidRPr="002D63EE" w:rsidRDefault="00362FED" w:rsidP="00AA3086">
      <w:pPr>
        <w:pStyle w:val="Textkrper"/>
        <w:spacing w:after="0"/>
        <w:ind w:left="2832"/>
        <w:jc w:val="both"/>
        <w:rPr>
          <w:b/>
          <w:szCs w:val="24"/>
        </w:rPr>
      </w:pPr>
      <w:r>
        <w:rPr>
          <w:b/>
          <w:szCs w:val="24"/>
        </w:rPr>
        <w:t>Fall 6</w:t>
      </w:r>
      <w:r w:rsidR="002D63EE" w:rsidRPr="002D63EE">
        <w:rPr>
          <w:b/>
          <w:szCs w:val="24"/>
        </w:rPr>
        <w:t>:</w:t>
      </w:r>
    </w:p>
    <w:p w:rsidR="002D63EE" w:rsidRDefault="002D63EE" w:rsidP="00AA3086">
      <w:pPr>
        <w:pStyle w:val="Textkrper"/>
        <w:spacing w:after="0"/>
        <w:ind w:left="2832"/>
        <w:jc w:val="both"/>
        <w:rPr>
          <w:szCs w:val="24"/>
        </w:rPr>
      </w:pPr>
    </w:p>
    <w:p w:rsidR="002D63EE" w:rsidRPr="002D63EE" w:rsidRDefault="002D63EE" w:rsidP="002D63EE">
      <w:pPr>
        <w:ind w:left="2832"/>
        <w:jc w:val="both"/>
        <w:rPr>
          <w:szCs w:val="24"/>
        </w:rPr>
      </w:pPr>
      <w:r w:rsidRPr="002D63EE">
        <w:rPr>
          <w:szCs w:val="24"/>
        </w:rPr>
        <w:t xml:space="preserve">Frau J arbeitet in der DB Brauerei AG in Dortmund als Teilzeitkraft im Lohnbüro mit 20 Stunden in der Woche. Nach ihrem Arbeitsvertrag hat sie Anspruch auf 12 Monatsgehälter. Ein Weihnachtsgeld wurde nicht vereinbart. Die DB Brauerei AG zahlt seit sieben Jahren – unabhängig von den Regelungen in den jeweiligen Arbeitsverträgen – allen Arbeitnehmern, die Vollzeit beschäftigt sind, ein sog. freiwilliges Weihnachtsgeld in Höhe von 2.400,00 €. Die </w:t>
      </w:r>
      <w:r w:rsidR="00435FB7">
        <w:rPr>
          <w:szCs w:val="24"/>
        </w:rPr>
        <w:t>in Teilzeit</w:t>
      </w:r>
      <w:r w:rsidRPr="002D63EE">
        <w:rPr>
          <w:szCs w:val="24"/>
        </w:rPr>
        <w:t xml:space="preserve"> beschäftigten Arbeitnehmer erhalten kein Weihnachtsgeld. Als J auch ein Weihnachtsgeld beansprucht, argumentiert die Brauerei, dass ihr kein vertraglicher Anspruch zusteht. Steht J ein Anspruch auf ein Weihnachtsgeld zu und wenn ja in welcher Höhe?</w:t>
      </w:r>
    </w:p>
    <w:p w:rsidR="002D63EE" w:rsidRDefault="002D63EE" w:rsidP="00AA3086">
      <w:pPr>
        <w:pStyle w:val="Textkrper"/>
        <w:spacing w:after="0"/>
        <w:ind w:left="2832"/>
        <w:jc w:val="both"/>
        <w:rPr>
          <w:szCs w:val="24"/>
        </w:rPr>
      </w:pPr>
    </w:p>
    <w:p w:rsidR="002D63EE" w:rsidRDefault="002D63EE" w:rsidP="00AA3086">
      <w:pPr>
        <w:pStyle w:val="Textkrper"/>
        <w:spacing w:after="0"/>
        <w:ind w:left="2832"/>
        <w:jc w:val="both"/>
        <w:rPr>
          <w:szCs w:val="24"/>
        </w:rPr>
      </w:pPr>
      <w:r>
        <w:rPr>
          <w:szCs w:val="24"/>
        </w:rPr>
        <w:t xml:space="preserve">Anmerkung: </w:t>
      </w:r>
      <w:r>
        <w:t>Anspruchsgrundlage ist § 4 Abs. 1 S. 2 </w:t>
      </w:r>
      <w:proofErr w:type="spellStart"/>
      <w:r>
        <w:t>TzBfG</w:t>
      </w:r>
      <w:proofErr w:type="spellEnd"/>
      <w:r>
        <w:t xml:space="preserve"> in Verbindung mit dem Arbeitsvertrag. Danach sind einem teilzeitbeschäftigten Arbeitnehmer Arbeitsgeld oder andere teilbare Geldleistungen mindestens in dem Umfang zu gewähren, der dem Anteil seiner Arbeitszeit an der Arbeitszeit eines vergleichbaren vollbeschäftigten Arbeitnehmers entspricht. Da die vollzeitbeschäftigten Arbeitnehmer 2.400,00 € erhalten, dürfte J entsprechend der vorgenannten Regelung einen hälftigen Anspruch auf 1.200,00 € haben.</w:t>
      </w:r>
    </w:p>
    <w:p w:rsidR="002D63EE" w:rsidRDefault="002D63EE" w:rsidP="00AA3086">
      <w:pPr>
        <w:pStyle w:val="Textkrper"/>
        <w:spacing w:after="0"/>
        <w:ind w:left="2832"/>
        <w:jc w:val="both"/>
        <w:rPr>
          <w:szCs w:val="24"/>
        </w:rPr>
      </w:pPr>
    </w:p>
    <w:p w:rsidR="00AA3086" w:rsidRPr="00D80BEF" w:rsidRDefault="00362FED" w:rsidP="00D80BEF">
      <w:pPr>
        <w:ind w:left="2832"/>
        <w:rPr>
          <w:b/>
        </w:rPr>
      </w:pPr>
      <w:r>
        <w:rPr>
          <w:b/>
        </w:rPr>
        <w:t>Fall 7</w:t>
      </w:r>
      <w:r w:rsidR="00D80BEF" w:rsidRPr="00D80BEF">
        <w:rPr>
          <w:b/>
        </w:rPr>
        <w:t>:</w:t>
      </w:r>
    </w:p>
    <w:p w:rsidR="002D63EE" w:rsidRDefault="002D63EE" w:rsidP="00AA3086">
      <w:pPr>
        <w:pStyle w:val="Textkrper3"/>
        <w:spacing w:after="0"/>
        <w:ind w:left="2832"/>
        <w:jc w:val="both"/>
        <w:rPr>
          <w:sz w:val="24"/>
          <w:szCs w:val="24"/>
        </w:rPr>
      </w:pPr>
    </w:p>
    <w:p w:rsidR="00AA3086" w:rsidRPr="00AA3086" w:rsidRDefault="00AA3086" w:rsidP="00AA3086">
      <w:pPr>
        <w:pStyle w:val="Textkrper3"/>
        <w:spacing w:after="0"/>
        <w:ind w:left="2832"/>
        <w:jc w:val="both"/>
        <w:rPr>
          <w:sz w:val="24"/>
          <w:szCs w:val="24"/>
        </w:rPr>
      </w:pPr>
      <w:r w:rsidRPr="00AA3086">
        <w:rPr>
          <w:sz w:val="24"/>
          <w:szCs w:val="24"/>
        </w:rPr>
        <w:t>V ist seit sechs Jahren bei einem Kleinbetrieb mit acht Mitarbeitern beschäftigt. Sein Hobby ist Kickboxen. Nach einem Wettkampf am Wochenende wird V durch eine regelwidrige Aktion eines Mitkämpfers schwer an der rechten Gesichtshälfte verletzt und ist für fünf Monate krankgeschrieben. Der Kleinbetrieb ist der Auffassung, dass V durch seine gefährliche Sportart die Verletzung selbst verschuldet hat und verweigert die Entgeltfortzahlung, weil er als Kleinbetrieb hierdurch übermäßig belastet werde. Der Arbeitsvertrag enthält keine Regelungen über Entgeltfortzahlungsansprüche. V verweist auf die Möglichkeit des Ausgleichs- und Umlageverfahrens nach dem Aufwendungsausgleichsgesetz. Hat V einen Anspruch auf Entgeltfortzahlung</w:t>
      </w:r>
      <w:r w:rsidR="0080056F">
        <w:rPr>
          <w:sz w:val="24"/>
          <w:szCs w:val="24"/>
        </w:rPr>
        <w:t xml:space="preserve"> nach § 3 Abs. 1 </w:t>
      </w:r>
      <w:proofErr w:type="spellStart"/>
      <w:r w:rsidR="0080056F">
        <w:rPr>
          <w:sz w:val="24"/>
          <w:szCs w:val="24"/>
        </w:rPr>
        <w:t>EntgeltfG</w:t>
      </w:r>
      <w:proofErr w:type="spellEnd"/>
      <w:r w:rsidRPr="00AA3086">
        <w:rPr>
          <w:sz w:val="24"/>
          <w:szCs w:val="24"/>
        </w:rPr>
        <w:t>? (BAG Der Betrieb 1977, S. 2238; BSG NZA-RR 2007, S. 84)</w:t>
      </w:r>
    </w:p>
    <w:p w:rsidR="00AA3086" w:rsidRPr="00AA3086" w:rsidRDefault="00AA3086" w:rsidP="00AA3086">
      <w:pPr>
        <w:ind w:left="2832"/>
        <w:jc w:val="both"/>
        <w:rPr>
          <w:szCs w:val="24"/>
        </w:rPr>
      </w:pPr>
    </w:p>
    <w:p w:rsidR="00AA3086" w:rsidRPr="002A346C" w:rsidRDefault="00362FED" w:rsidP="002A346C">
      <w:pPr>
        <w:ind w:left="2832"/>
        <w:jc w:val="both"/>
        <w:rPr>
          <w:b/>
        </w:rPr>
      </w:pPr>
      <w:r>
        <w:rPr>
          <w:b/>
        </w:rPr>
        <w:t>Fall 8</w:t>
      </w:r>
      <w:r w:rsidR="002A346C">
        <w:rPr>
          <w:b/>
        </w:rPr>
        <w:t>:</w:t>
      </w:r>
    </w:p>
    <w:p w:rsidR="002A346C" w:rsidRDefault="002A346C" w:rsidP="00AA3086">
      <w:pPr>
        <w:ind w:left="2832"/>
        <w:jc w:val="both"/>
        <w:rPr>
          <w:szCs w:val="24"/>
        </w:rPr>
      </w:pPr>
    </w:p>
    <w:p w:rsidR="00AA3086" w:rsidRPr="00AA3086" w:rsidRDefault="00AA3086" w:rsidP="00AA3086">
      <w:pPr>
        <w:ind w:left="2832"/>
        <w:jc w:val="both"/>
        <w:rPr>
          <w:szCs w:val="24"/>
        </w:rPr>
      </w:pPr>
      <w:r w:rsidRPr="00AA3086">
        <w:rPr>
          <w:szCs w:val="24"/>
        </w:rPr>
        <w:t xml:space="preserve">Die V-GmbH leidet unter einem hohen Krankenstand. Um die Fehlzeiten zu verringern, verspricht der Arbeitgeber allen </w:t>
      </w:r>
      <w:r w:rsidRPr="00AA3086">
        <w:rPr>
          <w:szCs w:val="24"/>
        </w:rPr>
        <w:lastRenderedPageBreak/>
        <w:t xml:space="preserve">Mitarbeitern, die keine krankheitsbedingten Fehlzeiten im jeweiligen Jahr aufweisen, eine Sonderzuwendung von 3.000,00 €. Im Falle von Fehlzeiten entfällt die Zahlung. Der Betriebsrat hält die vorgenannte Regelung nach dem </w:t>
      </w:r>
      <w:proofErr w:type="spellStart"/>
      <w:r w:rsidRPr="00AA3086">
        <w:rPr>
          <w:szCs w:val="24"/>
        </w:rPr>
        <w:t>EntgeltfortzahlungsG</w:t>
      </w:r>
      <w:proofErr w:type="spellEnd"/>
      <w:r w:rsidRPr="00AA3086">
        <w:rPr>
          <w:szCs w:val="24"/>
        </w:rPr>
        <w:t xml:space="preserve"> für unzulässig. Wie ist die Rechtslage? </w:t>
      </w:r>
    </w:p>
    <w:p w:rsidR="007E18E5" w:rsidRPr="00AA3086" w:rsidRDefault="007E18E5" w:rsidP="00AA3086">
      <w:pPr>
        <w:ind w:left="2832"/>
        <w:jc w:val="both"/>
        <w:rPr>
          <w:szCs w:val="24"/>
        </w:rPr>
      </w:pPr>
    </w:p>
    <w:p w:rsidR="007E18E5" w:rsidRPr="007E18E5" w:rsidRDefault="00AA3086" w:rsidP="00AA3086">
      <w:pPr>
        <w:ind w:left="2832"/>
        <w:jc w:val="both"/>
        <w:rPr>
          <w:b/>
          <w:i/>
          <w:szCs w:val="24"/>
        </w:rPr>
      </w:pPr>
      <w:r w:rsidRPr="007E18E5">
        <w:rPr>
          <w:b/>
          <w:i/>
          <w:szCs w:val="24"/>
        </w:rPr>
        <w:t xml:space="preserve">§ 4 a </w:t>
      </w:r>
      <w:proofErr w:type="spellStart"/>
      <w:r w:rsidRPr="007E18E5">
        <w:rPr>
          <w:b/>
          <w:i/>
          <w:szCs w:val="24"/>
        </w:rPr>
        <w:t>EngeltfortzG</w:t>
      </w:r>
      <w:proofErr w:type="spellEnd"/>
      <w:r w:rsidRPr="007E18E5">
        <w:rPr>
          <w:b/>
          <w:i/>
          <w:szCs w:val="24"/>
        </w:rPr>
        <w:t xml:space="preserve">: </w:t>
      </w:r>
    </w:p>
    <w:p w:rsidR="00AA3086" w:rsidRPr="007E18E5" w:rsidRDefault="00AA3086" w:rsidP="00AA3086">
      <w:pPr>
        <w:ind w:left="2832"/>
        <w:jc w:val="both"/>
        <w:rPr>
          <w:i/>
          <w:szCs w:val="24"/>
        </w:rPr>
      </w:pPr>
      <w:r w:rsidRPr="007E18E5">
        <w:rPr>
          <w:i/>
          <w:szCs w:val="24"/>
        </w:rPr>
        <w:t xml:space="preserve">Eine Vereinbarung über die Kürzung von Leistungen, die der Arbeitgeber zusätzlich zum laufenden Arbeitsentgelt erbringt (Sondervergütung), ist auch für Zeiten der Arbeitsunfähigkeit in Folge Krankheit zulässig. Die Kürzung darf für jeden Tag der Arbeitsunfähigkeit in Folge Krankheit ein Viertel des Arbeitsentgeltes, das im Jahresdurchschnitt auf einen Arbeitstag entfällt, nicht überschreiten. </w:t>
      </w:r>
    </w:p>
    <w:p w:rsidR="00AA3086" w:rsidRPr="00AA3086" w:rsidRDefault="00AA3086" w:rsidP="00AA3086">
      <w:pPr>
        <w:ind w:left="2832"/>
        <w:jc w:val="both"/>
        <w:rPr>
          <w:szCs w:val="24"/>
          <w:lang w:val="it-IT"/>
        </w:rPr>
      </w:pPr>
    </w:p>
    <w:p w:rsidR="00AA3086" w:rsidRPr="007E18E5" w:rsidRDefault="00362FED" w:rsidP="007E18E5">
      <w:pPr>
        <w:ind w:left="2832"/>
        <w:rPr>
          <w:b/>
        </w:rPr>
      </w:pPr>
      <w:r>
        <w:rPr>
          <w:b/>
        </w:rPr>
        <w:t>Fall 9</w:t>
      </w:r>
      <w:r w:rsidR="007E18E5" w:rsidRPr="007E18E5">
        <w:rPr>
          <w:b/>
        </w:rPr>
        <w:t>:</w:t>
      </w:r>
    </w:p>
    <w:p w:rsidR="007E18E5" w:rsidRPr="00AA3086" w:rsidRDefault="007E18E5" w:rsidP="007E18E5">
      <w:pPr>
        <w:ind w:left="2832"/>
      </w:pPr>
    </w:p>
    <w:p w:rsidR="00AA3086" w:rsidRPr="00AA3086" w:rsidRDefault="00AA3086" w:rsidP="00AA3086">
      <w:pPr>
        <w:ind w:left="2832"/>
        <w:jc w:val="both"/>
        <w:rPr>
          <w:szCs w:val="24"/>
        </w:rPr>
      </w:pPr>
      <w:r w:rsidRPr="00AA3086">
        <w:rPr>
          <w:szCs w:val="24"/>
        </w:rPr>
        <w:t xml:space="preserve">B ist als Schneeräumfahrer auf dem Münchner Flughafen mit einem Bruttogehalt von 2.300,00 € beschäftigt. Sowohl nach seinem Arbeitsvertrag als auch einer Betriebsvereinbarung zwischen Betriebsrat und der Flughafen AG gilt für Mitarbeiter während ihres Dienstes ein absolutes Alkoholverbot. Während eines Schneeräumeinsatzes im Februar 2007 rammt B eine auf dem Rollfeld abgestellte </w:t>
      </w:r>
      <w:proofErr w:type="spellStart"/>
      <w:r w:rsidRPr="00AA3086">
        <w:rPr>
          <w:szCs w:val="24"/>
        </w:rPr>
        <w:t>Boing</w:t>
      </w:r>
      <w:proofErr w:type="spellEnd"/>
      <w:r w:rsidRPr="00AA3086">
        <w:rPr>
          <w:szCs w:val="24"/>
        </w:rPr>
        <w:t xml:space="preserve"> 737 am Bugfahrwerk. Dieses knickt weg, so dass die Flugzeugspitze auf die Rollbahn knallt und die gesamte Elektronik zerstört wird. Der Schaden beläuft sich auf ca. 13,0 Mio. €. Nach dem Unfall wird von B eine Blutprobe entnommen und ein Alkoholgehalt von 1,9 Promille festgestellt. Die Flughafen AG verlangt von B Schadenersatz nach § 280 BGB. Besteht ein Anspruch? </w:t>
      </w:r>
    </w:p>
    <w:p w:rsidR="00AA3086" w:rsidRPr="00AA3086" w:rsidRDefault="00AA3086" w:rsidP="00AA3086">
      <w:pPr>
        <w:ind w:left="2832"/>
        <w:jc w:val="both"/>
        <w:rPr>
          <w:szCs w:val="24"/>
        </w:rPr>
      </w:pPr>
    </w:p>
    <w:p w:rsidR="007E18E5" w:rsidRPr="007E18E5" w:rsidRDefault="00AA3086" w:rsidP="00AA3086">
      <w:pPr>
        <w:ind w:left="2832"/>
        <w:jc w:val="both"/>
        <w:rPr>
          <w:b/>
          <w:i/>
          <w:szCs w:val="24"/>
        </w:rPr>
      </w:pPr>
      <w:r w:rsidRPr="007E18E5">
        <w:rPr>
          <w:b/>
          <w:i/>
          <w:szCs w:val="24"/>
        </w:rPr>
        <w:t xml:space="preserve">BAG NZA 1999, S. 263: </w:t>
      </w:r>
    </w:p>
    <w:p w:rsidR="00AA3086" w:rsidRPr="007E18E5" w:rsidRDefault="00AA3086" w:rsidP="00AA3086">
      <w:pPr>
        <w:ind w:left="2832"/>
        <w:jc w:val="both"/>
        <w:rPr>
          <w:i/>
          <w:szCs w:val="24"/>
        </w:rPr>
      </w:pPr>
      <w:r w:rsidRPr="007E18E5">
        <w:rPr>
          <w:i/>
          <w:szCs w:val="24"/>
        </w:rPr>
        <w:t xml:space="preserve">Auch bei grober Fahrlässigkeit sind Haftungserleichterungen zugunsten des Arbeitnehmers nicht ausgeschlossen, wenn sein Verdienst in einem deutlichen Missverhältnis zum verwirklichten Schadensrisiko der Tätigkeit steht. </w:t>
      </w:r>
    </w:p>
    <w:p w:rsidR="00AA3086" w:rsidRPr="007E18E5" w:rsidRDefault="00AA3086" w:rsidP="00AA3086">
      <w:pPr>
        <w:ind w:left="2832"/>
        <w:jc w:val="both"/>
        <w:rPr>
          <w:szCs w:val="24"/>
        </w:rPr>
      </w:pPr>
    </w:p>
    <w:p w:rsidR="00AA3086" w:rsidRPr="007E18E5" w:rsidRDefault="00362FED" w:rsidP="00AA3086">
      <w:pPr>
        <w:ind w:left="2832"/>
        <w:jc w:val="both"/>
        <w:rPr>
          <w:b/>
          <w:szCs w:val="24"/>
        </w:rPr>
      </w:pPr>
      <w:r>
        <w:rPr>
          <w:b/>
          <w:szCs w:val="24"/>
        </w:rPr>
        <w:t>Fall 10</w:t>
      </w:r>
      <w:r w:rsidR="007E18E5">
        <w:rPr>
          <w:b/>
          <w:szCs w:val="24"/>
        </w:rPr>
        <w:t>:</w:t>
      </w:r>
    </w:p>
    <w:p w:rsidR="007E18E5" w:rsidRDefault="007E18E5" w:rsidP="00AA3086">
      <w:pPr>
        <w:ind w:left="2832"/>
        <w:jc w:val="both"/>
        <w:rPr>
          <w:szCs w:val="24"/>
        </w:rPr>
      </w:pPr>
    </w:p>
    <w:p w:rsidR="00AA3086" w:rsidRPr="007E18E5" w:rsidRDefault="00AA3086" w:rsidP="00AA3086">
      <w:pPr>
        <w:ind w:left="2832"/>
        <w:jc w:val="both"/>
        <w:rPr>
          <w:szCs w:val="24"/>
        </w:rPr>
      </w:pPr>
      <w:r w:rsidRPr="007E18E5">
        <w:rPr>
          <w:szCs w:val="24"/>
        </w:rPr>
        <w:t xml:space="preserve">R ist als Reinigungskraft in einer Röntgenpraxis tätig. Ihr monatliches Bruttogehalt beläuft sich auf 320,00 €. Eines Abends hält sich R zufällig in der Nähe der Praxis auf, als sie durch die Praxistür einen </w:t>
      </w:r>
      <w:proofErr w:type="spellStart"/>
      <w:r w:rsidRPr="007E18E5">
        <w:rPr>
          <w:szCs w:val="24"/>
        </w:rPr>
        <w:t>Alarmton</w:t>
      </w:r>
      <w:proofErr w:type="spellEnd"/>
      <w:r w:rsidRPr="007E18E5">
        <w:rPr>
          <w:szCs w:val="24"/>
        </w:rPr>
        <w:t xml:space="preserve"> hört. Sie geht in die Praxisräume und stellt fest, dass der Alarm von einem </w:t>
      </w:r>
      <w:proofErr w:type="spellStart"/>
      <w:r w:rsidRPr="007E18E5">
        <w:rPr>
          <w:szCs w:val="24"/>
        </w:rPr>
        <w:t>Magnetresonanztomographen</w:t>
      </w:r>
      <w:proofErr w:type="spellEnd"/>
      <w:r w:rsidRPr="007E18E5">
        <w:rPr>
          <w:szCs w:val="24"/>
        </w:rPr>
        <w:t xml:space="preserve"> (MRT) ausgeht. Um den Alarm abzuschalten, drückt R einen Knopf der Steuereinheit. Es handelt sich dabei jedoch nicht um die Alarmabschaltung, sondern um eine Notabschaltung, die zum kompletten Ausfall des Gerätes führt. Der Röntgenpraxis entsteht durch den Ausfall des Gerätes und das erforderliche neuerliche Hochfahren ein Schaden in Höhe von 30.000,00 €. Diesen Schaden macht der </w:t>
      </w:r>
      <w:r w:rsidRPr="007E18E5">
        <w:rPr>
          <w:szCs w:val="24"/>
        </w:rPr>
        <w:lastRenderedPageBreak/>
        <w:t>Inhaber der Röntgenpraxis gegenüber R geltend. Besteht ein Anspruch und wenn ja in welcher Höhe?</w:t>
      </w:r>
    </w:p>
    <w:p w:rsidR="00AA3086" w:rsidRPr="007E18E5" w:rsidRDefault="00AA3086" w:rsidP="00AA3086">
      <w:pPr>
        <w:ind w:left="2832"/>
        <w:jc w:val="both"/>
        <w:rPr>
          <w:szCs w:val="24"/>
        </w:rPr>
      </w:pPr>
    </w:p>
    <w:p w:rsidR="007E18E5" w:rsidRPr="007E18E5" w:rsidRDefault="00AA3086" w:rsidP="00AA3086">
      <w:pPr>
        <w:ind w:left="2832"/>
        <w:jc w:val="both"/>
        <w:rPr>
          <w:b/>
          <w:i/>
          <w:szCs w:val="24"/>
        </w:rPr>
      </w:pPr>
      <w:r w:rsidRPr="007E18E5">
        <w:rPr>
          <w:b/>
          <w:i/>
          <w:szCs w:val="24"/>
        </w:rPr>
        <w:t xml:space="preserve">BAG Beck-RS 2011, 68692: </w:t>
      </w:r>
    </w:p>
    <w:p w:rsidR="00AA3086" w:rsidRPr="007E18E5" w:rsidRDefault="00AA3086" w:rsidP="00AA3086">
      <w:pPr>
        <w:ind w:left="2832"/>
        <w:jc w:val="both"/>
        <w:rPr>
          <w:i/>
          <w:szCs w:val="24"/>
        </w:rPr>
      </w:pPr>
      <w:r w:rsidRPr="007E18E5">
        <w:rPr>
          <w:i/>
          <w:szCs w:val="24"/>
        </w:rPr>
        <w:t xml:space="preserve">1. Die Grundsätze zur beschränkten Arbeitnehmerhaftung im Rahmen von § 280 BGB greifen immer ein, wenn ein Beschäftigter seinen Arbeitgeber in Ausübung einer betrieblich veranlassten Tätigkeit geschädigt hat. Von einer solchen betrieblichen Veranlassung ist im Streitfall auszugehen. </w:t>
      </w:r>
    </w:p>
    <w:p w:rsidR="00AA3086" w:rsidRPr="007E18E5" w:rsidRDefault="00AA3086" w:rsidP="00AA3086">
      <w:pPr>
        <w:ind w:left="2832"/>
        <w:jc w:val="both"/>
        <w:rPr>
          <w:i/>
          <w:szCs w:val="24"/>
        </w:rPr>
      </w:pPr>
      <w:r w:rsidRPr="007E18E5">
        <w:rPr>
          <w:i/>
          <w:szCs w:val="24"/>
        </w:rPr>
        <w:t xml:space="preserve">2. Die Betätigung der Steuerungseinheit stellt sich als besonders grob fahrlässig dar, da die Arbeitnehmerin wissen musste, dass sie der Bedienung einer derart komplexen Maschine nicht gewachsen ist. </w:t>
      </w:r>
    </w:p>
    <w:p w:rsidR="00AA3086" w:rsidRPr="007E18E5" w:rsidRDefault="00AA3086" w:rsidP="00AA3086">
      <w:pPr>
        <w:ind w:left="2832"/>
        <w:jc w:val="both"/>
        <w:rPr>
          <w:i/>
          <w:szCs w:val="24"/>
        </w:rPr>
      </w:pPr>
      <w:r w:rsidRPr="007E18E5">
        <w:rPr>
          <w:i/>
          <w:szCs w:val="24"/>
        </w:rPr>
        <w:t xml:space="preserve">3. Ob ihr auch im Hinblick auf den Schadenseintritt (nämlich Totalausfall des Gerätes infolge der Bedienung) eine besonders grobe (gröbste) Fahrlässigkeit vorzuwerfen ist, kann letztlich dahingestellt bleiben. Denn auch bei gröbster Fahrlässigkeit scheiden Haftungserleichterungen für den Arbeitnehmer nicht grundsätzlich aus. </w:t>
      </w:r>
    </w:p>
    <w:p w:rsidR="00AA3086" w:rsidRPr="007E18E5" w:rsidRDefault="00AA3086" w:rsidP="00AA3086">
      <w:pPr>
        <w:ind w:left="2832"/>
        <w:jc w:val="both"/>
        <w:rPr>
          <w:i/>
          <w:szCs w:val="24"/>
        </w:rPr>
      </w:pPr>
      <w:r w:rsidRPr="007E18E5">
        <w:rPr>
          <w:i/>
          <w:szCs w:val="24"/>
        </w:rPr>
        <w:t xml:space="preserve">4. Bei der Höhe des Schadenersatzanspruchs sind die Umstände des Einzelfalls, insbesondere auch die Höhe des Arbeitsentgeltes aber auch das Bestehen einer privaten Haftpflichtversicherung, die sich kulanzhalber bereit erklärt hat, den Schaden ganz oder zum Teil zu erstatten, zu berücksichtigen. </w:t>
      </w:r>
    </w:p>
    <w:p w:rsidR="00AA3086" w:rsidRPr="00AA3086" w:rsidRDefault="00AA3086" w:rsidP="00AA3086">
      <w:pPr>
        <w:ind w:left="2832"/>
        <w:jc w:val="both"/>
        <w:rPr>
          <w:szCs w:val="24"/>
          <w:lang w:val="it-IT"/>
        </w:rPr>
      </w:pPr>
    </w:p>
    <w:p w:rsidR="00AA3086" w:rsidRPr="007E18E5" w:rsidRDefault="00362FED" w:rsidP="007E18E5">
      <w:pPr>
        <w:ind w:left="2832"/>
        <w:rPr>
          <w:b/>
        </w:rPr>
      </w:pPr>
      <w:r>
        <w:rPr>
          <w:b/>
        </w:rPr>
        <w:t>Fall 11</w:t>
      </w:r>
      <w:r w:rsidR="007E18E5" w:rsidRPr="007E18E5">
        <w:rPr>
          <w:b/>
        </w:rPr>
        <w:t>:</w:t>
      </w:r>
    </w:p>
    <w:p w:rsidR="007E18E5" w:rsidRPr="00AA3086" w:rsidRDefault="007E18E5" w:rsidP="007E18E5">
      <w:pPr>
        <w:ind w:left="2832"/>
      </w:pPr>
    </w:p>
    <w:p w:rsidR="00AA3086" w:rsidRPr="00AA3086" w:rsidRDefault="00AA3086" w:rsidP="00AA3086">
      <w:pPr>
        <w:ind w:left="2832"/>
        <w:jc w:val="both"/>
        <w:rPr>
          <w:szCs w:val="24"/>
        </w:rPr>
      </w:pPr>
      <w:r w:rsidRPr="00AA3086">
        <w:rPr>
          <w:szCs w:val="24"/>
        </w:rPr>
        <w:t>A ist Auszubildender bei ei</w:t>
      </w:r>
      <w:r w:rsidR="002A346C">
        <w:rPr>
          <w:szCs w:val="24"/>
        </w:rPr>
        <w:t>ner Baufirma. Am Morgen des 26. </w:t>
      </w:r>
      <w:r w:rsidRPr="00AA3086">
        <w:rPr>
          <w:szCs w:val="24"/>
        </w:rPr>
        <w:t xml:space="preserve">April 2015 fuhr er mit einem Betriebsfahrzeug der Baufirma, das von seinem Kollegen B gesteuert wurde, zu einer Baustelle. B fuhr erheblich zu schnell und hatte das Fahrzeug auch mit Baumaterialien weit überladen. In einer Kurve kam das Fahrzeug von der Fahrbahn ab und überschlug sich mehrmals. A verlangt sowohl von dem Mitarbeiter B als auch von der Baufirma Schadenersatz und Schmerzensgeld. Wie ist die Rechtslage? </w:t>
      </w:r>
    </w:p>
    <w:p w:rsidR="00AA3086" w:rsidRPr="00AA3086" w:rsidRDefault="00AA3086" w:rsidP="00AA3086">
      <w:pPr>
        <w:ind w:left="2832"/>
        <w:jc w:val="both"/>
        <w:rPr>
          <w:szCs w:val="24"/>
        </w:rPr>
      </w:pPr>
    </w:p>
    <w:p w:rsidR="007E18E5" w:rsidRPr="007E18E5" w:rsidRDefault="00AA3086" w:rsidP="00AA3086">
      <w:pPr>
        <w:ind w:left="2832"/>
        <w:jc w:val="both"/>
        <w:rPr>
          <w:b/>
          <w:i/>
          <w:szCs w:val="24"/>
        </w:rPr>
      </w:pPr>
      <w:r w:rsidRPr="007E18E5">
        <w:rPr>
          <w:b/>
          <w:i/>
          <w:szCs w:val="24"/>
        </w:rPr>
        <w:t xml:space="preserve">BGH NZA 2004, 1165: </w:t>
      </w:r>
    </w:p>
    <w:p w:rsidR="00AA3086" w:rsidRPr="007E18E5" w:rsidRDefault="00AA3086" w:rsidP="00AA3086">
      <w:pPr>
        <w:ind w:left="2832"/>
        <w:jc w:val="both"/>
        <w:rPr>
          <w:i/>
          <w:szCs w:val="24"/>
        </w:rPr>
      </w:pPr>
      <w:r w:rsidRPr="007E18E5">
        <w:rPr>
          <w:i/>
          <w:szCs w:val="24"/>
        </w:rPr>
        <w:t xml:space="preserve">Nimmt ein Arbeitnehmer die Möglichkeit in Anspruch, mit einem Arbeitskollegen, der mit einem betriebseigenen Fahrzeug Gerätschaften und Material vom Betriebsgelände zum auswärtigen Beschäftigungsort transportiert, mitzufahren, so handelt es sich bei der Fahrt um einen nach § 8 Abs. 1 SGB VII versicherten Betriebsweg, so dass zugunsten des Schädigers ein Haftungsausschluss nach den §§ 104, 105 SGB VII eingreift. </w:t>
      </w:r>
    </w:p>
    <w:p w:rsidR="00AA3086" w:rsidRPr="00AA3086" w:rsidRDefault="00AA3086" w:rsidP="00AA3086">
      <w:pPr>
        <w:ind w:left="2832"/>
        <w:jc w:val="both"/>
        <w:rPr>
          <w:szCs w:val="24"/>
        </w:rPr>
      </w:pPr>
    </w:p>
    <w:p w:rsidR="00AA3086" w:rsidRPr="00AA3086" w:rsidRDefault="00AA3086" w:rsidP="00AA3086">
      <w:pPr>
        <w:ind w:left="2832"/>
        <w:jc w:val="both"/>
        <w:rPr>
          <w:b/>
          <w:szCs w:val="24"/>
        </w:rPr>
      </w:pPr>
      <w:r w:rsidRPr="00AA3086">
        <w:rPr>
          <w:b/>
          <w:szCs w:val="24"/>
        </w:rPr>
        <w:t>Fall 1</w:t>
      </w:r>
      <w:r w:rsidR="00362FED">
        <w:rPr>
          <w:b/>
          <w:szCs w:val="24"/>
        </w:rPr>
        <w:t>2</w:t>
      </w:r>
      <w:r w:rsidR="007E18E5">
        <w:rPr>
          <w:b/>
          <w:szCs w:val="24"/>
        </w:rPr>
        <w:t>:</w:t>
      </w:r>
    </w:p>
    <w:p w:rsidR="007E18E5" w:rsidRDefault="007E18E5" w:rsidP="00AA3086">
      <w:pPr>
        <w:ind w:left="2832"/>
        <w:jc w:val="both"/>
        <w:rPr>
          <w:szCs w:val="24"/>
        </w:rPr>
      </w:pPr>
    </w:p>
    <w:p w:rsidR="00AA3086" w:rsidRPr="00AA3086" w:rsidRDefault="00AA3086" w:rsidP="00AA3086">
      <w:pPr>
        <w:ind w:left="2832"/>
        <w:jc w:val="both"/>
        <w:rPr>
          <w:szCs w:val="24"/>
        </w:rPr>
      </w:pPr>
      <w:r w:rsidRPr="00AA3086">
        <w:rPr>
          <w:szCs w:val="24"/>
        </w:rPr>
        <w:t xml:space="preserve">O ist als Oberarzt in einem Krankenhaus beschäftigt. Er hat regelmäßig Rufbereitschaft zu leisten, die er von seinem Wohnort aus wahrnimmt. Dabei benutzt er auf dem Weg von </w:t>
      </w:r>
      <w:r w:rsidRPr="00AA3086">
        <w:rPr>
          <w:szCs w:val="24"/>
        </w:rPr>
        <w:lastRenderedPageBreak/>
        <w:t>seinem Haus zur Klinik sein eigenes Auto. Anlässlich einer Bereitschaftsfahr</w:t>
      </w:r>
      <w:r w:rsidR="00435FB7">
        <w:rPr>
          <w:szCs w:val="24"/>
        </w:rPr>
        <w:t>t</w:t>
      </w:r>
      <w:r w:rsidRPr="00AA3086">
        <w:rPr>
          <w:szCs w:val="24"/>
        </w:rPr>
        <w:t xml:space="preserve"> verunglückt O mit seinem Fahrzeug. Dabei entstehen ihm Reparaturkosten in Höhe von 6.690,00 €, die er von der Versicherung nicht erstattet bekommt. Diese verlangt er nun von seinem Arbeitgeber ersetzt. Hat O einen Anspruch?</w:t>
      </w:r>
    </w:p>
    <w:p w:rsidR="00AA3086" w:rsidRPr="00AA3086" w:rsidRDefault="00AA3086" w:rsidP="00AA3086">
      <w:pPr>
        <w:ind w:left="2832"/>
        <w:jc w:val="both"/>
        <w:rPr>
          <w:szCs w:val="24"/>
        </w:rPr>
      </w:pPr>
    </w:p>
    <w:p w:rsidR="007E18E5" w:rsidRPr="007E18E5" w:rsidRDefault="00AA3086" w:rsidP="00AA3086">
      <w:pPr>
        <w:ind w:left="2832"/>
        <w:jc w:val="both"/>
        <w:rPr>
          <w:b/>
          <w:i/>
          <w:szCs w:val="24"/>
        </w:rPr>
      </w:pPr>
      <w:r w:rsidRPr="007E18E5">
        <w:rPr>
          <w:b/>
          <w:i/>
          <w:szCs w:val="24"/>
        </w:rPr>
        <w:t xml:space="preserve">BAG Beck-RS 2011, 76519: </w:t>
      </w:r>
    </w:p>
    <w:p w:rsidR="00AA3086" w:rsidRPr="007E18E5" w:rsidRDefault="00AA3086" w:rsidP="00AA3086">
      <w:pPr>
        <w:ind w:left="2832"/>
        <w:jc w:val="both"/>
        <w:rPr>
          <w:i/>
          <w:szCs w:val="24"/>
        </w:rPr>
      </w:pPr>
      <w:r w:rsidRPr="007E18E5">
        <w:rPr>
          <w:i/>
          <w:szCs w:val="24"/>
        </w:rPr>
        <w:t xml:space="preserve">Dem Arbeitnehmer steht dem Grunde nach ein Anspruch auf Schadenersatz in entsprechender Anwendung von § 670 BGB zu. Die Vorschrift vermittelt Arbeitnehmern einen Anspruch auf Ersatz von Schäden, die ihnen bei der Erbringung der Arbeitsleistung ohne Verschulden des Arbeitgebers entstehen. Voraussetzung ist, dass der Schaden nicht dem Lebensbereich des Arbeitnehmers, sondern dem Tätigkeitsbereich des Arbeitgebers zuzurechnen ist und der Arbeitnehmer für eine eventuelle Risikoerhöhung keine besondere Vergütung erhält. Setzt der Arbeitnehmer sein eigenes Fahrzeug im Zusammenhang mit der Ausführung seiner Arbeitstätigkeit ein, ist die Fahrt immer dann dem Betätigungsbereich des Arbeitgebers zuzurechnen, wenn ohne den Einsatz des Arbeitnehmerfahrzeuges der Arbeitgeber sein eigenes Fahrzeug einsetzen und damit dessen Unfallgefahr tragen müsste oder wenn er den Arbeitnehmer ausdrücklich auffordert, das eigene Fahrzeug zu nutzen. </w:t>
      </w:r>
    </w:p>
    <w:p w:rsidR="00AA3086" w:rsidRPr="00AA3086" w:rsidRDefault="00AA3086" w:rsidP="00AA3086">
      <w:pPr>
        <w:ind w:left="2832"/>
        <w:jc w:val="both"/>
        <w:rPr>
          <w:szCs w:val="24"/>
        </w:rPr>
      </w:pPr>
    </w:p>
    <w:p w:rsidR="00AA3086" w:rsidRPr="00AA3086" w:rsidRDefault="00AA3086" w:rsidP="00AA3086">
      <w:pPr>
        <w:ind w:left="2832"/>
        <w:jc w:val="both"/>
        <w:rPr>
          <w:b/>
          <w:szCs w:val="24"/>
        </w:rPr>
      </w:pPr>
      <w:r w:rsidRPr="00AA3086">
        <w:rPr>
          <w:b/>
          <w:szCs w:val="24"/>
        </w:rPr>
        <w:t>Fall 1</w:t>
      </w:r>
      <w:r w:rsidR="00362FED">
        <w:rPr>
          <w:b/>
          <w:szCs w:val="24"/>
        </w:rPr>
        <w:t>3</w:t>
      </w:r>
      <w:r w:rsidR="007E18E5">
        <w:rPr>
          <w:b/>
          <w:szCs w:val="24"/>
        </w:rPr>
        <w:t>:</w:t>
      </w:r>
    </w:p>
    <w:p w:rsidR="007E18E5" w:rsidRDefault="007E18E5" w:rsidP="00AA3086">
      <w:pPr>
        <w:ind w:left="2832"/>
        <w:jc w:val="both"/>
        <w:rPr>
          <w:szCs w:val="24"/>
        </w:rPr>
      </w:pPr>
    </w:p>
    <w:p w:rsidR="00AA3086" w:rsidRPr="00AA3086" w:rsidRDefault="00AA3086" w:rsidP="00AA3086">
      <w:pPr>
        <w:ind w:left="2832"/>
        <w:jc w:val="both"/>
        <w:rPr>
          <w:szCs w:val="24"/>
        </w:rPr>
      </w:pPr>
      <w:r w:rsidRPr="00AA3086">
        <w:rPr>
          <w:szCs w:val="24"/>
        </w:rPr>
        <w:t xml:space="preserve">Der Arbeitnehmer P ist Pilot bei der Lufthansa und hat am 30. September 2012 das 60. Lebensjahr vollendet. Der anwendbare Tarifvertrag sieht die Beendigung des Arbeitsverhältnisses bei Erreichen des 60. Lebensjahres vor. Die Bestimmungen zur Lizensierung von Piloten </w:t>
      </w:r>
      <w:r w:rsidR="00435FB7">
        <w:rPr>
          <w:szCs w:val="24"/>
        </w:rPr>
        <w:t xml:space="preserve">und </w:t>
      </w:r>
      <w:r w:rsidRPr="00AA3086">
        <w:rPr>
          <w:szCs w:val="24"/>
        </w:rPr>
        <w:t>von Flugzeugen (JAR-FCL) regeln, dass Piloten ab Vollendung des 60. Lebensjahres weiterhin bei einer aus mehreren Piloten bestehenden Besatzung eingesetzt werden können, wenn die anderen Mitglieder jünger sind. Ab dem 65. Lebensjahr dürfen Piloten auch nach der JAR-FCL nicht mehr eingesetzt werden. Mit einer Klage wendet sich P gegen die Befristung seines Arbeitsverhältnisses und rügt eine Altersdiskriminierung. Wie ist die Rechtslage?</w:t>
      </w:r>
    </w:p>
    <w:p w:rsidR="00AA3086" w:rsidRPr="00AA3086" w:rsidRDefault="00AA3086" w:rsidP="00AA3086">
      <w:pPr>
        <w:ind w:left="2832"/>
        <w:jc w:val="both"/>
        <w:rPr>
          <w:szCs w:val="24"/>
        </w:rPr>
      </w:pPr>
    </w:p>
    <w:p w:rsidR="007E18E5" w:rsidRPr="007E18E5" w:rsidRDefault="00AA3086" w:rsidP="00AA3086">
      <w:pPr>
        <w:ind w:left="2832"/>
        <w:jc w:val="both"/>
        <w:rPr>
          <w:b/>
          <w:i/>
          <w:szCs w:val="24"/>
        </w:rPr>
      </w:pPr>
      <w:r w:rsidRPr="007E18E5">
        <w:rPr>
          <w:b/>
          <w:i/>
          <w:szCs w:val="24"/>
        </w:rPr>
        <w:t xml:space="preserve">BAG Beck-RS 2012, 69244: </w:t>
      </w:r>
    </w:p>
    <w:p w:rsidR="00AA3086" w:rsidRPr="007E18E5" w:rsidRDefault="00AA3086" w:rsidP="00AA3086">
      <w:pPr>
        <w:ind w:left="2832"/>
        <w:jc w:val="both"/>
        <w:rPr>
          <w:i/>
          <w:szCs w:val="24"/>
        </w:rPr>
      </w:pPr>
      <w:r w:rsidRPr="007E18E5">
        <w:rPr>
          <w:i/>
          <w:szCs w:val="24"/>
        </w:rPr>
        <w:t xml:space="preserve">Da </w:t>
      </w:r>
      <w:r w:rsidR="007E18E5" w:rsidRPr="007E18E5">
        <w:rPr>
          <w:i/>
          <w:szCs w:val="24"/>
        </w:rPr>
        <w:t xml:space="preserve">altersbedingte </w:t>
      </w:r>
      <w:r w:rsidRPr="007E18E5">
        <w:rPr>
          <w:i/>
          <w:szCs w:val="24"/>
        </w:rPr>
        <w:t xml:space="preserve">Schwächen erhebliche Konsequenzen haben können, brauchen Verkehrspiloten besondere körperliche Fähigkeiten, die ab einem gewissen Alter nachlassen können. Die tarifliche Altersgrenze ist wegen der Regelung des JAR-FCL jedoch nicht erforderlich zur Gewährleistung des Flugverkehrs, da hiernach ein Einsatz bis zum 65. Lebensjahr möglich ist. Eine tarifliche Altersgrenze für Piloten bei Vollendung des 60. Lebensjahres verstößt daher gegen das Verbot der Altersdiskriminierung. </w:t>
      </w:r>
    </w:p>
    <w:p w:rsidR="00AA3086" w:rsidRPr="00AA3086" w:rsidRDefault="00AA3086" w:rsidP="00AA3086">
      <w:pPr>
        <w:ind w:left="2832"/>
        <w:jc w:val="both"/>
        <w:rPr>
          <w:szCs w:val="24"/>
        </w:rPr>
      </w:pPr>
    </w:p>
    <w:p w:rsidR="00AA3086" w:rsidRPr="00AA3086" w:rsidRDefault="00AA3086" w:rsidP="00AA3086">
      <w:pPr>
        <w:ind w:left="2832"/>
        <w:jc w:val="both"/>
        <w:rPr>
          <w:b/>
          <w:szCs w:val="24"/>
        </w:rPr>
      </w:pPr>
      <w:r w:rsidRPr="00AA3086">
        <w:rPr>
          <w:b/>
          <w:szCs w:val="24"/>
        </w:rPr>
        <w:t>Fall 1</w:t>
      </w:r>
      <w:r w:rsidR="00362FED">
        <w:rPr>
          <w:b/>
          <w:szCs w:val="24"/>
        </w:rPr>
        <w:t>4</w:t>
      </w:r>
      <w:r w:rsidR="007E18E5">
        <w:rPr>
          <w:b/>
          <w:szCs w:val="24"/>
        </w:rPr>
        <w:t>:</w:t>
      </w:r>
    </w:p>
    <w:p w:rsidR="007E18E5" w:rsidRDefault="007E18E5" w:rsidP="00AA3086">
      <w:pPr>
        <w:ind w:left="2832"/>
        <w:jc w:val="both"/>
        <w:rPr>
          <w:szCs w:val="24"/>
        </w:rPr>
      </w:pPr>
    </w:p>
    <w:p w:rsidR="00AA3086" w:rsidRPr="00AA3086" w:rsidRDefault="00AA3086" w:rsidP="00AA3086">
      <w:pPr>
        <w:ind w:left="2832"/>
        <w:jc w:val="both"/>
        <w:rPr>
          <w:szCs w:val="24"/>
        </w:rPr>
      </w:pPr>
      <w:r w:rsidRPr="00AA3086">
        <w:rPr>
          <w:szCs w:val="24"/>
        </w:rPr>
        <w:t>R ist Mitte 40 und in Russland geboren. Sie ist Inhaberin eines in Deutschland anerkannten russischen Diploms als Systemtechnik-Ingenieurin. Sie bewirbt sich zweimal erfolglos auf kurz hintereinander erschienene Stellenanzeigen des gleichen Arbeitgebers mit denen er eine/n erfahrene/n Softwareentwickler/in sucht. Der Arbeitgeber lehnt beide Bewerbungen der R ohne vorheriges Vorstellungsgespräch ab. R meint, sie würde wegen ihres Geschlechts, ihres Alters und ihrer Herkunft diskriminiert. Neben Schadenersatz begehrt sie die Verurteilung des Arbeitgebers zur Vorlage der Bewerbungsunterlagen des eingestellten Bewerbers. Wie ist die Rechtslage?</w:t>
      </w:r>
    </w:p>
    <w:p w:rsidR="00AA3086" w:rsidRPr="00AA3086" w:rsidRDefault="00AA3086" w:rsidP="00AA3086">
      <w:pPr>
        <w:ind w:left="2832"/>
        <w:jc w:val="both"/>
        <w:rPr>
          <w:szCs w:val="24"/>
        </w:rPr>
      </w:pPr>
    </w:p>
    <w:p w:rsidR="007E18E5" w:rsidRPr="007E18E5" w:rsidRDefault="00AA3086" w:rsidP="00AA3086">
      <w:pPr>
        <w:ind w:left="2832"/>
        <w:jc w:val="both"/>
        <w:rPr>
          <w:b/>
          <w:i/>
          <w:szCs w:val="24"/>
        </w:rPr>
      </w:pPr>
      <w:r w:rsidRPr="007E18E5">
        <w:rPr>
          <w:b/>
          <w:i/>
          <w:szCs w:val="24"/>
        </w:rPr>
        <w:t xml:space="preserve">EuGH Beck-RS 2012, 80742: </w:t>
      </w:r>
    </w:p>
    <w:p w:rsidR="00AA3086" w:rsidRPr="007E18E5" w:rsidRDefault="00AA3086" w:rsidP="00AA3086">
      <w:pPr>
        <w:ind w:left="2832"/>
        <w:jc w:val="both"/>
        <w:rPr>
          <w:i/>
          <w:szCs w:val="24"/>
        </w:rPr>
      </w:pPr>
      <w:r w:rsidRPr="007E18E5">
        <w:rPr>
          <w:i/>
          <w:szCs w:val="24"/>
        </w:rPr>
        <w:t xml:space="preserve">Die einschlägigen EU-Richtlinien gewähren einem Arbeitnehmer, der schlüssig darlegt, dass er die in einer Stellenausschreibung genannten Voraussetzungen erfüllt und dessen Bewerbung nicht berücksichtigt wurde, keinen Auskunftsanspruch zu der Frage, ob der Arbeitgeber am Ende des Einstellungsverfahrens einen anderen Bewerber eingestellt hat oder auf welchem Grund die Ablehnung beruht. Jedoch kann die Tatsache, dass der Arbeitgeber die gewünschte Auskunft verweigert, ein Aspekt sein, der im Rahmen des Nachweises von Tatsachen, die das Vorliegen einer unmittelbaren oder mittelbaren Diskriminierung vermuten lassen, heranziehen (vgl. § 22 AGG). </w:t>
      </w:r>
    </w:p>
    <w:p w:rsidR="00AA3086" w:rsidRPr="00AA3086" w:rsidRDefault="00AA3086" w:rsidP="00AA3086">
      <w:pPr>
        <w:ind w:left="2832"/>
        <w:jc w:val="both"/>
        <w:rPr>
          <w:szCs w:val="24"/>
        </w:rPr>
      </w:pPr>
    </w:p>
    <w:p w:rsidR="007E18E5" w:rsidRPr="007E18E5" w:rsidRDefault="00AA3086" w:rsidP="007E18E5">
      <w:pPr>
        <w:ind w:left="2832"/>
        <w:rPr>
          <w:b/>
          <w:szCs w:val="24"/>
        </w:rPr>
      </w:pPr>
      <w:r w:rsidRPr="007E18E5">
        <w:rPr>
          <w:b/>
        </w:rPr>
        <w:t>Fall 1</w:t>
      </w:r>
      <w:r w:rsidR="00362FED">
        <w:rPr>
          <w:b/>
        </w:rPr>
        <w:t>5</w:t>
      </w:r>
      <w:r w:rsidR="007E18E5" w:rsidRPr="007E18E5">
        <w:rPr>
          <w:b/>
          <w:szCs w:val="24"/>
        </w:rPr>
        <w:t>:</w:t>
      </w:r>
    </w:p>
    <w:p w:rsidR="007E18E5" w:rsidRPr="007E18E5" w:rsidRDefault="007E18E5" w:rsidP="007E18E5">
      <w:pPr>
        <w:ind w:left="2832"/>
      </w:pPr>
    </w:p>
    <w:p w:rsidR="00AA3086" w:rsidRPr="00AA3086" w:rsidRDefault="00AA3086" w:rsidP="00AA3086">
      <w:pPr>
        <w:ind w:left="2832"/>
        <w:jc w:val="both"/>
        <w:rPr>
          <w:szCs w:val="24"/>
        </w:rPr>
      </w:pPr>
      <w:r w:rsidRPr="00AA3086">
        <w:rPr>
          <w:szCs w:val="24"/>
        </w:rPr>
        <w:t xml:space="preserve">A ist als Bildredakteurin bei der Tageszeitung T beschäftigt. Sie ist alleinerziehende Mutter und hat drei Kinder, das jüngste Kind ist schwerbehindert. Nach dem Arbeitsvertrag besteht eine Regelarbeitszeit von 40 Stunden. A beantragt die Reduzierung der Arbeitszeit zum Zwecke der Kinderbetreuung auf 25 Stunden in der Woche. Der Arbeitgeber lehnt dies mit der Begründung ab, betriebliche Gründe würden es erfordern, dass alle Bildredakteure 40 Stunden in der Woche präsent sind. Zudem befürchtet der Arbeitgeber negative Vorbildwirkung. Hat A einen Anspruch auf Reduzierung der Arbeitszeit? </w:t>
      </w:r>
    </w:p>
    <w:p w:rsidR="00AA3086" w:rsidRPr="00AA3086" w:rsidRDefault="00AA3086" w:rsidP="00AA3086">
      <w:pPr>
        <w:ind w:left="2832"/>
        <w:jc w:val="both"/>
        <w:rPr>
          <w:szCs w:val="24"/>
        </w:rPr>
      </w:pPr>
    </w:p>
    <w:p w:rsidR="007E18E5" w:rsidRPr="007E18E5" w:rsidRDefault="00AA3086" w:rsidP="00AA3086">
      <w:pPr>
        <w:ind w:left="2832"/>
        <w:jc w:val="both"/>
        <w:rPr>
          <w:b/>
          <w:i/>
          <w:szCs w:val="24"/>
        </w:rPr>
      </w:pPr>
      <w:r w:rsidRPr="007E18E5">
        <w:rPr>
          <w:b/>
          <w:i/>
          <w:szCs w:val="24"/>
        </w:rPr>
        <w:t xml:space="preserve">LAG Hamburg NZA-RR 2007, 122: </w:t>
      </w:r>
    </w:p>
    <w:p w:rsidR="00AA3086" w:rsidRPr="007E18E5" w:rsidRDefault="00AA3086" w:rsidP="00AA3086">
      <w:pPr>
        <w:ind w:left="2832"/>
        <w:jc w:val="both"/>
        <w:rPr>
          <w:i/>
          <w:szCs w:val="24"/>
        </w:rPr>
      </w:pPr>
      <w:r w:rsidRPr="007E18E5">
        <w:rPr>
          <w:i/>
          <w:szCs w:val="24"/>
        </w:rPr>
        <w:t xml:space="preserve">Aus § 8 Abs. 1 Satz 2 </w:t>
      </w:r>
      <w:proofErr w:type="spellStart"/>
      <w:r w:rsidRPr="007E18E5">
        <w:rPr>
          <w:i/>
          <w:szCs w:val="24"/>
        </w:rPr>
        <w:t>TzBfG</w:t>
      </w:r>
      <w:proofErr w:type="spellEnd"/>
      <w:r w:rsidRPr="007E18E5">
        <w:rPr>
          <w:i/>
          <w:szCs w:val="24"/>
        </w:rPr>
        <w:t xml:space="preserve"> folgt, dass die wunschgemäße Verringerung der Arbeitszeit mit wesentlichen Nachteilen verbunden sein muss, um den Arbeitgeber zur Ablehnung der Arbeitszeitverkürzung zu berechtigen; die im Gesetz beispielhaft aufgeführten betrieblichen Gründe müssen wesentlich beeinträchtigt sein. Nicht wesentliche Beeinträchtigungen, wie etwa alle Umstände, die normalerweise mit personellen </w:t>
      </w:r>
      <w:r w:rsidRPr="007E18E5">
        <w:rPr>
          <w:i/>
          <w:szCs w:val="24"/>
        </w:rPr>
        <w:lastRenderedPageBreak/>
        <w:t>Veränderungen verbunden sind, also der sächliche und personelle Aufwand, der mit einer Ersatzeinstellung oder mit der Aufstockung von Arbeitszeit bereits beschäftigter Arbeitnehmer verbunden ist, sind außer Betracht zu lassen (vgl. ferner BAG NZA 2006, 316)</w:t>
      </w:r>
    </w:p>
    <w:p w:rsidR="00AA3086" w:rsidRPr="00AA3086" w:rsidRDefault="00AA3086" w:rsidP="00AA3086">
      <w:pPr>
        <w:ind w:left="2832"/>
        <w:jc w:val="both"/>
        <w:rPr>
          <w:szCs w:val="24"/>
        </w:rPr>
      </w:pPr>
    </w:p>
    <w:p w:rsidR="00AA3086" w:rsidRPr="007E18E5" w:rsidRDefault="00AA3086" w:rsidP="007E18E5">
      <w:pPr>
        <w:ind w:left="2832"/>
        <w:rPr>
          <w:b/>
        </w:rPr>
      </w:pPr>
      <w:r w:rsidRPr="007E18E5">
        <w:rPr>
          <w:b/>
        </w:rPr>
        <w:t xml:space="preserve">Fall </w:t>
      </w:r>
      <w:r w:rsidR="00362FED">
        <w:rPr>
          <w:b/>
        </w:rPr>
        <w:t>16</w:t>
      </w:r>
      <w:r w:rsidR="007E18E5" w:rsidRPr="007E18E5">
        <w:rPr>
          <w:b/>
        </w:rPr>
        <w:t>:</w:t>
      </w:r>
    </w:p>
    <w:p w:rsidR="007E18E5" w:rsidRPr="00AA3086" w:rsidRDefault="007E18E5" w:rsidP="007E18E5">
      <w:pPr>
        <w:ind w:left="2832"/>
      </w:pPr>
    </w:p>
    <w:p w:rsidR="00AA3086" w:rsidRPr="00AA3086" w:rsidRDefault="00AA3086" w:rsidP="00AA3086">
      <w:pPr>
        <w:ind w:left="2832"/>
        <w:jc w:val="both"/>
        <w:rPr>
          <w:szCs w:val="24"/>
        </w:rPr>
      </w:pPr>
      <w:r w:rsidRPr="00AA3086">
        <w:rPr>
          <w:szCs w:val="24"/>
        </w:rPr>
        <w:t xml:space="preserve">Die X-GmbH hat 300 Mitarbeiter. Im Geschäftsführungssekretariat gibt es zwei Sekretärinnen, die jeweils in Vollzeit arbeiten und 2.600,00 € verdienen. Der Geschäftsführer beabsichtigt, eine dritte Sekretärin einzustellen, die von einem Konkurrenzunternehmen kommt. Diese ist nur bereit, für ein Gehalt von 3.200,00 € bei ihm anzufangen. Der Geschäftsführer hat Bedenken, ob er in Anbetracht des Gleichbehandlungsgrundsatzes berechtigt ist, der dritten Sekretärin 3.200,00 € zu zahlen. Wie ist die Rechtslage? </w:t>
      </w:r>
    </w:p>
    <w:p w:rsidR="00AA3086" w:rsidRDefault="00AA3086" w:rsidP="00AA3086">
      <w:pPr>
        <w:ind w:left="2832"/>
        <w:jc w:val="both"/>
        <w:rPr>
          <w:szCs w:val="24"/>
        </w:rPr>
      </w:pPr>
    </w:p>
    <w:p w:rsidR="00164F46" w:rsidRPr="00AA3086" w:rsidRDefault="00164F46" w:rsidP="00AA3086">
      <w:pPr>
        <w:ind w:left="2832"/>
        <w:jc w:val="both"/>
        <w:rPr>
          <w:szCs w:val="24"/>
        </w:rPr>
      </w:pPr>
    </w:p>
    <w:p w:rsidR="007E18E5" w:rsidRPr="007E18E5" w:rsidRDefault="00AA3086" w:rsidP="00AA3086">
      <w:pPr>
        <w:ind w:left="2832"/>
        <w:jc w:val="both"/>
        <w:rPr>
          <w:b/>
          <w:i/>
          <w:szCs w:val="24"/>
        </w:rPr>
      </w:pPr>
      <w:r w:rsidRPr="007E18E5">
        <w:rPr>
          <w:b/>
          <w:i/>
          <w:szCs w:val="24"/>
        </w:rPr>
        <w:t>LAG Köln NZA-RR 2007, 182:</w:t>
      </w:r>
    </w:p>
    <w:p w:rsidR="00AA3086" w:rsidRPr="007E18E5" w:rsidRDefault="00AA3086" w:rsidP="00AA3086">
      <w:pPr>
        <w:ind w:left="2832"/>
        <w:jc w:val="both"/>
        <w:rPr>
          <w:i/>
          <w:szCs w:val="24"/>
        </w:rPr>
      </w:pPr>
      <w:r w:rsidRPr="007E18E5">
        <w:rPr>
          <w:i/>
          <w:szCs w:val="24"/>
        </w:rPr>
        <w:t>Der Gleichbehandlungsgrundsatz gebietet dem Arbeitgeber seine Arbeitnehmer oder Gruppen seiner Arbeitnehmer, die sich in vergleichbarer Lage befinden, bei Anwendung einer selbst gegebenen Regelung gleich zu behandeln. Dies gilt trotz des Vorrangs der Vertragsfreiheit grundsätzlich auch im Bereich der Vergütung, also der Hauptleistungspflicht des Arbeitgebers. Das Gebot der Gleichbehandlung greift insoweit immer dann ein, wenn der Arbeitgeber Leistungen nach einem erkennbar generalisierenden Prinzip aufgrund einer abstrakten Regelung gewährt. Von einer solchen Regelung darf er Arbeitnehmer nur aus sachlichen Gründen ausschließen. Nicht zur Anwendung kommt der Gleichbehandlungsgrundsatz immer dann, wenn es sich um individuell vereinbarte Löhne und Gehälter handelt (vgl. ferner BAG NZA 2000, 1050).</w:t>
      </w:r>
    </w:p>
    <w:p w:rsidR="007E18E5" w:rsidRDefault="007E18E5" w:rsidP="00AA3086">
      <w:pPr>
        <w:ind w:left="2832"/>
        <w:jc w:val="both"/>
        <w:rPr>
          <w:szCs w:val="24"/>
        </w:rPr>
      </w:pPr>
    </w:p>
    <w:p w:rsidR="002A346C" w:rsidRDefault="002A346C" w:rsidP="00AA3086">
      <w:pPr>
        <w:ind w:left="2832"/>
        <w:jc w:val="both"/>
        <w:rPr>
          <w:szCs w:val="24"/>
        </w:rPr>
      </w:pPr>
    </w:p>
    <w:p w:rsidR="002A346C" w:rsidRDefault="002A346C" w:rsidP="00AA3086">
      <w:pPr>
        <w:ind w:left="2832"/>
        <w:jc w:val="both"/>
        <w:rPr>
          <w:szCs w:val="24"/>
        </w:rPr>
      </w:pPr>
    </w:p>
    <w:p w:rsidR="002A346C" w:rsidRPr="002A346C" w:rsidRDefault="002A346C" w:rsidP="00AA3086">
      <w:pPr>
        <w:ind w:left="2832"/>
        <w:jc w:val="both"/>
        <w:rPr>
          <w:b/>
          <w:szCs w:val="24"/>
          <w:u w:val="single"/>
        </w:rPr>
      </w:pPr>
      <w:r w:rsidRPr="002A346C">
        <w:rPr>
          <w:b/>
          <w:szCs w:val="24"/>
          <w:u w:val="single"/>
        </w:rPr>
        <w:t>Zum Eigenstudium:</w:t>
      </w:r>
    </w:p>
    <w:p w:rsidR="002A346C" w:rsidRPr="007E18E5" w:rsidRDefault="002A346C" w:rsidP="00AA3086">
      <w:pPr>
        <w:ind w:left="2832"/>
        <w:jc w:val="both"/>
        <w:rPr>
          <w:szCs w:val="24"/>
        </w:rPr>
      </w:pPr>
    </w:p>
    <w:p w:rsidR="00AA3086" w:rsidRPr="00AA3086" w:rsidRDefault="00AA3086" w:rsidP="00AA3086">
      <w:pPr>
        <w:ind w:left="2832"/>
        <w:jc w:val="both"/>
        <w:rPr>
          <w:b/>
          <w:szCs w:val="24"/>
        </w:rPr>
      </w:pPr>
      <w:r w:rsidRPr="00AA3086">
        <w:rPr>
          <w:b/>
          <w:szCs w:val="24"/>
        </w:rPr>
        <w:t xml:space="preserve">Fall </w:t>
      </w:r>
      <w:r w:rsidR="00362FED">
        <w:rPr>
          <w:b/>
          <w:szCs w:val="24"/>
        </w:rPr>
        <w:t>17</w:t>
      </w:r>
      <w:r w:rsidR="007E18E5">
        <w:rPr>
          <w:b/>
          <w:szCs w:val="24"/>
        </w:rPr>
        <w:t>:</w:t>
      </w:r>
    </w:p>
    <w:p w:rsidR="007E18E5" w:rsidRDefault="007E18E5" w:rsidP="00AA3086">
      <w:pPr>
        <w:ind w:left="2832"/>
        <w:jc w:val="both"/>
        <w:rPr>
          <w:szCs w:val="24"/>
        </w:rPr>
      </w:pPr>
    </w:p>
    <w:p w:rsidR="00AA3086" w:rsidRPr="00AA3086" w:rsidRDefault="00AA3086" w:rsidP="00AA3086">
      <w:pPr>
        <w:ind w:left="2832"/>
        <w:jc w:val="both"/>
        <w:rPr>
          <w:szCs w:val="24"/>
        </w:rPr>
      </w:pPr>
      <w:r w:rsidRPr="00AA3086">
        <w:rPr>
          <w:szCs w:val="24"/>
        </w:rPr>
        <w:t xml:space="preserve">A ist bei einem Versicherungsunternehmen angestellt und mit der Vermittlung von Versicherungsverträgen und Mitgliedsverträgen für bestimmte Kooperationspartner seines Arbeitgebers (etwa dem Bund der Steuerzahler) betraut. Mögliche Interessenten für den Abschluss von Verträgen bekommt A durch den Arbeitgeber ohne seine Kooperationspartner zugewiesen. Im Arbeitsvertrag ist vereinbart, dass ein Kunden- oder Bezirksschutz nicht besteht. Der Arbeitgeber entschließt sich im Jahr 2012 unter Einbindung des Gesamtbetriebsrates zu einer Neuausrichtung seiner </w:t>
      </w:r>
      <w:r w:rsidRPr="00AA3086">
        <w:rPr>
          <w:szCs w:val="24"/>
        </w:rPr>
        <w:lastRenderedPageBreak/>
        <w:t>Betriebsstruktur. In diesem Zusammenhang wird auch das Vertriebsgebiet von A verändert. In der Folgezeit bekommt A durch die Kooperationspartner des Arbeitgebers weit weniger potentielle Kunden als bisher zugewiesen. Sein zum großen Teil aus Provisionen bestehendes Einkommen verringert sich in Folge dessen von durchschnittlich 300.000,00 € auf 175.000,00 € jährlich. A klagt vor dem Arbeitsgericht auf Erstattung der jährlichen Gehaltsdifferenz aus der Zeit vor und nach der Reorganisation. Hat A einen Schadenersatzanspruch?</w:t>
      </w:r>
    </w:p>
    <w:p w:rsidR="00AA3086" w:rsidRPr="00AA3086" w:rsidRDefault="00AA3086" w:rsidP="00AA3086">
      <w:pPr>
        <w:ind w:left="2832"/>
        <w:jc w:val="both"/>
        <w:rPr>
          <w:szCs w:val="24"/>
        </w:rPr>
      </w:pPr>
    </w:p>
    <w:p w:rsidR="007E18E5" w:rsidRPr="007E18E5" w:rsidRDefault="00AA3086" w:rsidP="00AA3086">
      <w:pPr>
        <w:ind w:left="2832"/>
        <w:jc w:val="both"/>
        <w:rPr>
          <w:b/>
          <w:i/>
          <w:szCs w:val="24"/>
        </w:rPr>
      </w:pPr>
      <w:r w:rsidRPr="007E18E5">
        <w:rPr>
          <w:b/>
          <w:i/>
          <w:szCs w:val="24"/>
        </w:rPr>
        <w:t xml:space="preserve">BAG Beck-RS 2012, 71039: </w:t>
      </w:r>
    </w:p>
    <w:p w:rsidR="00AA3086" w:rsidRPr="007E18E5" w:rsidRDefault="00AA3086" w:rsidP="00AA3086">
      <w:pPr>
        <w:ind w:left="2832"/>
        <w:jc w:val="both"/>
        <w:rPr>
          <w:i/>
          <w:szCs w:val="24"/>
        </w:rPr>
      </w:pPr>
      <w:r w:rsidRPr="007E18E5">
        <w:rPr>
          <w:i/>
          <w:szCs w:val="24"/>
        </w:rPr>
        <w:t xml:space="preserve">Ein Schadenersatzanspruch nach § 280 Abs. 1 BGB besteht nicht. Ohne besondere vertragliche Vereinbarung besteht keine allgemeine Pflicht des Arbeitgebers, seine Organisationsgewalt so auszuüben, dass die Höhe des erfolgsabhängigen variablen Entgelts einzelner Mitarbeiter sich nicht verändert. Die generelle Vereinbarung, dass sich das Gehalt des Klägers zum großen Teil aus vermittlungsabhängigen Provisionen zusammensetzt, ist rechtlich nicht zu beanstanden. Die Vereinbarung ist insbesondere nicht sittenwidrig nach § 138 BGB, da der Arbeitnehmer auch nach der Reorganisation die Möglichkeit hat, ein Jahreseinkommen von über 100.000,00 € zu erzielen. Es besteht auch keine betriebliche Übung zur Aufrechterhaltung einer bestimmten Arbeitsorganisation. Allein der Umstand, dass eine bestimmte Organisation über einen längeren Zeitraum beibehalten wird, lässt nicht auf den Willen des Arbeitgebers schließen, auf künftige Planungen und Organisationsänderungen zu verzichten und sich insoweit individualrechtlich binden zu wollen. </w:t>
      </w:r>
    </w:p>
    <w:p w:rsidR="00AA3086" w:rsidRPr="00AA3086" w:rsidRDefault="00AA3086" w:rsidP="00AA3086">
      <w:pPr>
        <w:ind w:left="2832"/>
        <w:jc w:val="both"/>
        <w:rPr>
          <w:szCs w:val="24"/>
        </w:rPr>
      </w:pPr>
    </w:p>
    <w:p w:rsidR="00AA3086" w:rsidRPr="00AA3086" w:rsidRDefault="00AA3086" w:rsidP="00AA3086">
      <w:pPr>
        <w:ind w:left="2832"/>
        <w:jc w:val="both"/>
        <w:rPr>
          <w:szCs w:val="24"/>
        </w:rPr>
      </w:pPr>
      <w:r w:rsidRPr="00AA3086">
        <w:rPr>
          <w:szCs w:val="24"/>
        </w:rPr>
        <w:t xml:space="preserve">Anmerkung: In Chefarztverträgen gibt es häufig sog. Entwicklungs- und Anpassungsklauseln. Diese erlauben in der Regel dem Krankenhausträger einseitige – zum Teil näher bezeichnete – strukturelle und organisatorische Änderungen im Krankenhaus vorzunehmen, z. B. die Abteilung zu teilen, die Bettenzahlungen zu ändern, neue Chefärzte, auch derselben Fachrichtung einzustellen usw. Diese Maßnahmen können also ganz erhebliche Auswirkungen auf die Einkünfte des Chefarztes haben. Nach Auffassung der Rechtsprechung ist eine Vereinbarung, die dem Arbeitgeber vertraglich das Recht zur einseitigen Änderung einzelner Vertragsbedingungen einräumt, dann nichtig, wenn sie zur Umgehung des zwingenden Kündigungsschutzes oder sonstiger zwingender Arbeitsschutzvorschriften führt, durch die das Gleichgewicht zwischen Leistung und Gegenleistung grundlegend gestört wird. Bei der Beurteilung der Zulässigkeit derartiger Vertragsklauseln </w:t>
      </w:r>
      <w:proofErr w:type="gramStart"/>
      <w:r w:rsidRPr="00AA3086">
        <w:rPr>
          <w:szCs w:val="24"/>
        </w:rPr>
        <w:t>kann</w:t>
      </w:r>
      <w:proofErr w:type="gramEnd"/>
      <w:r w:rsidRPr="00AA3086">
        <w:rPr>
          <w:szCs w:val="24"/>
        </w:rPr>
        <w:t xml:space="preserve"> aber die Stellung des Arbeitnehmers in der betrieblichen Hierarchie und die Höhe seiner Vergütung nicht außer Betracht bleiben. Gegenüber Arbeitnehmern in Spitzenpositionen mit Spitzenverdiensten kann sich der Arbeitgeber vertraglich weitergehende einseitige Bestimmungsrechte vorbehalten als </w:t>
      </w:r>
      <w:r w:rsidRPr="00AA3086">
        <w:rPr>
          <w:szCs w:val="24"/>
        </w:rPr>
        <w:lastRenderedPageBreak/>
        <w:t>gegenüber anderen Arbeitnehmern. Ein Chefarzt einer größeren chirurgischen Krankenhausabteilung mit einem Gehalt, das sich auch noch nach der Umstrukturierung auf ein Mehrfaches des höchsten Tarifgehaltes beläuft, gehört zu dieser herausgehobenen Kategorie von Arbeitnehmern (BAGE 86, 61 bzw. BAG NZA 1997, 1160; ferner Reinecke NJW 2005, 3383).</w:t>
      </w:r>
    </w:p>
    <w:p w:rsidR="00AA3086" w:rsidRDefault="00AA3086" w:rsidP="00AA3086">
      <w:pPr>
        <w:ind w:left="2832"/>
        <w:jc w:val="both"/>
        <w:rPr>
          <w:szCs w:val="24"/>
        </w:rPr>
      </w:pPr>
    </w:p>
    <w:p w:rsidR="007E18E5" w:rsidRDefault="007E18E5">
      <w:pPr>
        <w:rPr>
          <w:szCs w:val="24"/>
        </w:rPr>
      </w:pPr>
      <w:r>
        <w:rPr>
          <w:szCs w:val="24"/>
        </w:rPr>
        <w:br w:type="page"/>
      </w:r>
    </w:p>
    <w:p w:rsidR="00AA3086" w:rsidRPr="007E18E5" w:rsidRDefault="00AA3086" w:rsidP="007E18E5">
      <w:pPr>
        <w:ind w:left="2832"/>
        <w:rPr>
          <w:b/>
        </w:rPr>
      </w:pPr>
      <w:r w:rsidRPr="007E18E5">
        <w:rPr>
          <w:b/>
        </w:rPr>
        <w:t>I</w:t>
      </w:r>
      <w:r w:rsidR="00DF7D64">
        <w:rPr>
          <w:b/>
        </w:rPr>
        <w:t>I</w:t>
      </w:r>
      <w:r w:rsidRPr="007E18E5">
        <w:rPr>
          <w:b/>
        </w:rPr>
        <w:t>I. Allgemeines Kündigungsrecht</w:t>
      </w:r>
    </w:p>
    <w:p w:rsidR="00AA3086" w:rsidRDefault="00AA3086" w:rsidP="008B7186">
      <w:pPr>
        <w:ind w:left="2832"/>
        <w:jc w:val="both"/>
      </w:pPr>
    </w:p>
    <w:p w:rsidR="008B7186" w:rsidRPr="002A346C" w:rsidRDefault="008B7186" w:rsidP="008B7186">
      <w:pPr>
        <w:ind w:left="2832"/>
        <w:jc w:val="both"/>
        <w:rPr>
          <w:b/>
        </w:rPr>
      </w:pPr>
      <w:r w:rsidRPr="002A346C">
        <w:rPr>
          <w:b/>
        </w:rPr>
        <w:t xml:space="preserve">Fall 1: </w:t>
      </w:r>
    </w:p>
    <w:p w:rsidR="008B7186" w:rsidRDefault="008B7186" w:rsidP="008B7186">
      <w:pPr>
        <w:ind w:left="2832"/>
        <w:jc w:val="both"/>
      </w:pPr>
    </w:p>
    <w:p w:rsidR="008B7186" w:rsidRDefault="008B7186" w:rsidP="008B7186">
      <w:pPr>
        <w:ind w:left="2832"/>
        <w:jc w:val="both"/>
      </w:pPr>
      <w:r>
        <w:t>E ist als Verkäuferin bei der Escada AG mit Sitz in München beschäftigt. In ihrem Arbeitsvertrag steht als ausschließlicher Arbeitsort die Escada-Boutique in der Friedrichstraße in Berlin-Mitte. Nach drei Jahren entschließt sich die Escada-AG die Boutique zum 31. Dezember 201</w:t>
      </w:r>
      <w:r w:rsidR="007A31BD">
        <w:t>9</w:t>
      </w:r>
      <w:r>
        <w:t xml:space="preserve"> zu schließen und möchte E betriebsbedingt kündigen. Die Escada-AG unterhält in Berlin noch eine weitere Filiale am Kurfürstendamm sowie eine Verkaufsboutique im </w:t>
      </w:r>
      <w:proofErr w:type="spellStart"/>
      <w:r>
        <w:t>KaDeWe</w:t>
      </w:r>
      <w:proofErr w:type="spellEnd"/>
      <w:r>
        <w:t xml:space="preserve">. Das dort beschäftigte Personal soll nicht gekündigt werden und weiter tätig sein. </w:t>
      </w:r>
      <w:r w:rsidR="002A346C">
        <w:t>E war während ihrer ganzen Zeit ausschließlich in der Friedrichstraße tätig. Sie</w:t>
      </w:r>
      <w:r>
        <w:t xml:space="preserve"> ist der Auffassung, dass die Schließung des Geschäfts in der Friedrichstraße keinen Sinn mache, da die Umsätze gut seien. Wäre eine fristgemäße Kündigung von E nach § 1 Abs. 1 KSchG sozial gerechtfertigt?</w:t>
      </w:r>
    </w:p>
    <w:p w:rsidR="008B7186" w:rsidRDefault="008B7186" w:rsidP="008B7186">
      <w:pPr>
        <w:ind w:left="2832"/>
        <w:jc w:val="both"/>
      </w:pPr>
    </w:p>
    <w:p w:rsidR="008B7186" w:rsidRPr="00276CE1" w:rsidRDefault="008B7186" w:rsidP="008B7186">
      <w:pPr>
        <w:ind w:left="2832"/>
        <w:jc w:val="both"/>
        <w:rPr>
          <w:b/>
          <w:i/>
        </w:rPr>
      </w:pPr>
      <w:r w:rsidRPr="00276CE1">
        <w:rPr>
          <w:b/>
          <w:i/>
        </w:rPr>
        <w:t>BAG NZA 2009, 142; NZA 1996, 1145:</w:t>
      </w:r>
    </w:p>
    <w:p w:rsidR="008B7186" w:rsidRPr="00276CE1" w:rsidRDefault="008B7186" w:rsidP="008B7186">
      <w:pPr>
        <w:ind w:left="2832"/>
        <w:jc w:val="both"/>
        <w:rPr>
          <w:i/>
        </w:rPr>
      </w:pPr>
      <w:r w:rsidRPr="00276CE1">
        <w:rPr>
          <w:i/>
        </w:rPr>
        <w:t xml:space="preserve">Die unternehmerische Entscheidung des Arbeitgebers ist von den Gerichten für Arbeitssachen nur eingeschränkt überprüfbar. Die sachliche Rechtfertigung oder die Zweckmäßigkeit der getroffenen unternehmerischen Entscheidung darf vom Arbeitsgericht nicht hinterfragt werden. </w:t>
      </w:r>
      <w:r w:rsidR="00276CE1">
        <w:rPr>
          <w:i/>
        </w:rPr>
        <w:t xml:space="preserve">Es </w:t>
      </w:r>
      <w:r w:rsidR="002A346C">
        <w:rPr>
          <w:i/>
        </w:rPr>
        <w:t>kann</w:t>
      </w:r>
      <w:r w:rsidR="00276CE1">
        <w:rPr>
          <w:i/>
        </w:rPr>
        <w:t xml:space="preserve"> lediglich überprüft werden, ob die unternehmerische Entscheidung offensichtlich unsachlich, unvernünftig oder willkürlich ist. </w:t>
      </w:r>
    </w:p>
    <w:p w:rsidR="008B7186" w:rsidRDefault="008B7186" w:rsidP="008B7186">
      <w:pPr>
        <w:ind w:left="2832"/>
        <w:jc w:val="both"/>
      </w:pPr>
    </w:p>
    <w:p w:rsidR="002A346C" w:rsidRPr="00565156" w:rsidRDefault="002A346C" w:rsidP="008B7186">
      <w:pPr>
        <w:ind w:left="2832"/>
        <w:jc w:val="both"/>
        <w:rPr>
          <w:b/>
        </w:rPr>
      </w:pPr>
      <w:r w:rsidRPr="00565156">
        <w:rPr>
          <w:b/>
        </w:rPr>
        <w:t xml:space="preserve">Fall </w:t>
      </w:r>
      <w:r w:rsidR="00565156" w:rsidRPr="00565156">
        <w:rPr>
          <w:b/>
        </w:rPr>
        <w:t>2</w:t>
      </w:r>
      <w:r w:rsidRPr="00565156">
        <w:rPr>
          <w:b/>
        </w:rPr>
        <w:t>:</w:t>
      </w:r>
    </w:p>
    <w:p w:rsidR="002A346C" w:rsidRDefault="002A346C" w:rsidP="008B7186">
      <w:pPr>
        <w:ind w:left="2832"/>
        <w:jc w:val="both"/>
      </w:pPr>
    </w:p>
    <w:p w:rsidR="002A346C" w:rsidRDefault="002A346C" w:rsidP="008B7186">
      <w:pPr>
        <w:ind w:left="2832"/>
        <w:jc w:val="both"/>
      </w:pPr>
      <w:r>
        <w:t>Wie bei Fall 1. Bitte unterstellen Sie, dass die Escada AG in sämtlichen Verkaufsstellen in Deutschland seit 2012 erhebliche Umsatz- und Gewinnzuwächse verzeichnen kann. Entsprechend ist der Aktienkurs in den letzten Jahren kontinuierlich gestiegen. Der durchschnittliche Gewinn einer Boutique liegt bei 7,5 %. Die Friedrichstraße erwirtschaftet lediglich einen Gewinn von 2,5 %. Die Escada AG will lediglich Boutiquen betreiben, die einen Gewinn von mindestens 5 % erwirtschaften und entschließt sich, die Friedrichstraße aufzugeben. Handelt es sich hierbei um eine missbräuchliche Entscheidung, die zur Unwirksamkeit der betriebsbedingten Kündigung führt?</w:t>
      </w:r>
    </w:p>
    <w:p w:rsidR="002A346C" w:rsidRDefault="002A346C" w:rsidP="008B7186">
      <w:pPr>
        <w:ind w:left="2832"/>
        <w:jc w:val="both"/>
      </w:pPr>
    </w:p>
    <w:p w:rsidR="002A346C" w:rsidRPr="00565156" w:rsidRDefault="002A346C" w:rsidP="008B7186">
      <w:pPr>
        <w:ind w:left="2832"/>
        <w:jc w:val="both"/>
        <w:rPr>
          <w:b/>
          <w:i/>
        </w:rPr>
      </w:pPr>
      <w:r w:rsidRPr="00565156">
        <w:rPr>
          <w:b/>
          <w:i/>
        </w:rPr>
        <w:t>BAG NZA 2007, 8555; 1998, 944:</w:t>
      </w:r>
    </w:p>
    <w:p w:rsidR="00565156" w:rsidRPr="00565156" w:rsidRDefault="00565156" w:rsidP="008B7186">
      <w:pPr>
        <w:ind w:left="2832"/>
        <w:jc w:val="both"/>
        <w:rPr>
          <w:i/>
        </w:rPr>
      </w:pPr>
      <w:r w:rsidRPr="00565156">
        <w:rPr>
          <w:i/>
        </w:rPr>
        <w:t xml:space="preserve">Wenn der Arbeitgeber zur Gewinnsteigerung auf Basis einer unternehmerischen Entscheidung Maßnahmen einleitet, die zum Wegfall von Arbeitsplätzen führen, handelt es sich nicht um eine unsachliche bzw. willkürliche Maßnahme. Solche Entscheidungen sind nicht allein deshalb missbräuchlich, weil der Arbeitgeber den Gewinn eines bereits rentabel arbeitenden Unternehmens steigern will. </w:t>
      </w:r>
    </w:p>
    <w:p w:rsidR="00276CE1" w:rsidRPr="00276CE1" w:rsidRDefault="00276CE1" w:rsidP="008B7186">
      <w:pPr>
        <w:ind w:left="2832"/>
        <w:jc w:val="both"/>
        <w:rPr>
          <w:b/>
        </w:rPr>
      </w:pPr>
      <w:r w:rsidRPr="00276CE1">
        <w:rPr>
          <w:b/>
        </w:rPr>
        <w:lastRenderedPageBreak/>
        <w:t xml:space="preserve">Fall </w:t>
      </w:r>
      <w:r w:rsidR="00565156">
        <w:rPr>
          <w:b/>
        </w:rPr>
        <w:t>3</w:t>
      </w:r>
      <w:r w:rsidRPr="00276CE1">
        <w:rPr>
          <w:b/>
        </w:rPr>
        <w:t>:</w:t>
      </w:r>
    </w:p>
    <w:p w:rsidR="00276CE1" w:rsidRDefault="00276CE1" w:rsidP="008B7186">
      <w:pPr>
        <w:ind w:left="2832"/>
        <w:jc w:val="both"/>
      </w:pPr>
    </w:p>
    <w:p w:rsidR="00276CE1" w:rsidRDefault="00276CE1" w:rsidP="008B7186">
      <w:pPr>
        <w:ind w:left="2832"/>
        <w:jc w:val="both"/>
      </w:pPr>
      <w:r>
        <w:t>Wie Fall 1, nur jetzt hat sich die Escada-AG nicht zur Schließung des Geschäfts in der Friedrichstraße, sondern zur Neueinstellung der Verkäuferin X entschieden. Frau X ist in China geboren und hat die ersten 20 Jahre dort gelebt und spricht fließend chinesisch sowie deutsch und englisch. Die Escada-AG erhofft sich durch die Einstellung von X mehr Akzeptanz bei den chinesischen Touristen in Berlin. Die Escada-AG ist der Auffassung, dass durch die Neueinstellung der X der Arbeitsplatz von E entfallen ist und möchte ihr betriebsbedingt kündigen. Wie ist die Rechtslage?</w:t>
      </w:r>
    </w:p>
    <w:p w:rsidR="00276CE1" w:rsidRDefault="00276CE1" w:rsidP="008B7186">
      <w:pPr>
        <w:ind w:left="2832"/>
        <w:jc w:val="both"/>
      </w:pPr>
    </w:p>
    <w:p w:rsidR="00276CE1" w:rsidRPr="00276CE1" w:rsidRDefault="00276CE1" w:rsidP="008B7186">
      <w:pPr>
        <w:ind w:left="2832"/>
        <w:jc w:val="both"/>
        <w:rPr>
          <w:b/>
          <w:i/>
        </w:rPr>
      </w:pPr>
      <w:r w:rsidRPr="00276CE1">
        <w:rPr>
          <w:b/>
          <w:i/>
        </w:rPr>
        <w:t>BAG NZA 2004, 1268; NZA 1999, 1098:</w:t>
      </w:r>
    </w:p>
    <w:p w:rsidR="00276CE1" w:rsidRPr="00276CE1" w:rsidRDefault="00276CE1" w:rsidP="008B7186">
      <w:pPr>
        <w:ind w:left="2832"/>
        <w:jc w:val="both"/>
        <w:rPr>
          <w:i/>
        </w:rPr>
      </w:pPr>
      <w:r w:rsidRPr="00276CE1">
        <w:rPr>
          <w:i/>
        </w:rPr>
        <w:t xml:space="preserve">In Folge der Umsetzung </w:t>
      </w:r>
      <w:r w:rsidR="002A346C">
        <w:rPr>
          <w:i/>
        </w:rPr>
        <w:t>einer</w:t>
      </w:r>
      <w:r w:rsidRPr="00276CE1">
        <w:rPr>
          <w:i/>
        </w:rPr>
        <w:t xml:space="preserve"> unternehmerischen Entscheidung muss es zum Wegfall der Beschäftigungsmöglichkeit kommen. Entscheidend ist, ob es in Folge der unternehmerischen Entscheidung zu einem Überhang an Arbeitskräften im Betrieb und damit zu einem Wegfall von Weiterbeschäftigungsmöglichkeiten gekommen ist. </w:t>
      </w:r>
      <w:r w:rsidR="002A346C">
        <w:rPr>
          <w:i/>
        </w:rPr>
        <w:t>Von den Gerichten für Arbeitssachen ist zu überprüfen, ob überhaupt eine unternehmerische Entscheidung vorliegt. E</w:t>
      </w:r>
      <w:r w:rsidRPr="00276CE1">
        <w:rPr>
          <w:i/>
        </w:rPr>
        <w:t xml:space="preserve">ine personelle Maßnahme – Neueinstellung von Arbeitnehmern – </w:t>
      </w:r>
      <w:r w:rsidR="002A346C">
        <w:rPr>
          <w:i/>
        </w:rPr>
        <w:t xml:space="preserve">stellt </w:t>
      </w:r>
      <w:r w:rsidRPr="00276CE1">
        <w:rPr>
          <w:i/>
        </w:rPr>
        <w:t>keine un</w:t>
      </w:r>
      <w:r w:rsidR="002A346C">
        <w:rPr>
          <w:i/>
        </w:rPr>
        <w:t>ternehmerische Entscheidung dar und kann eine betriebsbedingte Kündigung nicht rechtfertigen.</w:t>
      </w:r>
    </w:p>
    <w:p w:rsidR="00276CE1" w:rsidRDefault="00276CE1" w:rsidP="008B7186">
      <w:pPr>
        <w:ind w:left="2832"/>
        <w:jc w:val="both"/>
      </w:pPr>
    </w:p>
    <w:p w:rsidR="00AA3086" w:rsidRPr="00276CE1" w:rsidRDefault="00AA3086" w:rsidP="00276CE1">
      <w:pPr>
        <w:ind w:left="2832"/>
        <w:rPr>
          <w:b/>
        </w:rPr>
      </w:pPr>
      <w:r w:rsidRPr="00276CE1">
        <w:rPr>
          <w:b/>
        </w:rPr>
        <w:t xml:space="preserve">Fall </w:t>
      </w:r>
      <w:r w:rsidR="00565156">
        <w:rPr>
          <w:b/>
        </w:rPr>
        <w:t>4</w:t>
      </w:r>
      <w:r w:rsidR="00276CE1" w:rsidRPr="00276CE1">
        <w:rPr>
          <w:b/>
        </w:rPr>
        <w:t>:</w:t>
      </w:r>
    </w:p>
    <w:p w:rsidR="00276CE1" w:rsidRDefault="00276CE1" w:rsidP="00AA3086">
      <w:pPr>
        <w:ind w:left="2832"/>
        <w:jc w:val="both"/>
        <w:rPr>
          <w:szCs w:val="24"/>
        </w:rPr>
      </w:pPr>
    </w:p>
    <w:p w:rsidR="00AA3086" w:rsidRPr="00AA3086" w:rsidRDefault="00AA3086" w:rsidP="00AA3086">
      <w:pPr>
        <w:ind w:left="2832"/>
        <w:jc w:val="both"/>
        <w:rPr>
          <w:szCs w:val="24"/>
        </w:rPr>
      </w:pPr>
      <w:r w:rsidRPr="00AA3086">
        <w:rPr>
          <w:szCs w:val="24"/>
        </w:rPr>
        <w:t xml:space="preserve">B ist seit zwölf Jahren in einem Berliner Kaufhaus als Verkäufer beschäftigt. Er beantragt für </w:t>
      </w:r>
      <w:proofErr w:type="gramStart"/>
      <w:r w:rsidRPr="00AA3086">
        <w:rPr>
          <w:szCs w:val="24"/>
        </w:rPr>
        <w:t>die</w:t>
      </w:r>
      <w:proofErr w:type="gramEnd"/>
      <w:r w:rsidRPr="00AA3086">
        <w:rPr>
          <w:szCs w:val="24"/>
        </w:rPr>
        <w:t xml:space="preserve"> zwei letzten Dezemberwochen Urlaub. Aufgrund des im Weihnachtsgeschäft erheblich gesteigerten Personalbedarfs verweigert der Arbeitgeber den Urlaub. B erscheint gleichwohl in den beiden letzten Dezemberwochen nicht zur Arbeit und argumentiert, dass er bereits den Flug gebucht habe. Wie ist die Rechtslage? Ändert sich etwas, wenn B für die beiden letzten Dezemberwochen eine Krankschreibung bei seinem Arbeitgeber einreicht, dieser dann aber erfährt, dass B die Reise angetreten hat?</w:t>
      </w:r>
    </w:p>
    <w:p w:rsidR="00AA3086" w:rsidRPr="00AA3086" w:rsidRDefault="00AA3086" w:rsidP="00AA3086">
      <w:pPr>
        <w:ind w:left="2832"/>
        <w:jc w:val="both"/>
        <w:rPr>
          <w:szCs w:val="24"/>
        </w:rPr>
      </w:pPr>
    </w:p>
    <w:p w:rsidR="00276CE1" w:rsidRPr="00276CE1" w:rsidRDefault="00AA3086" w:rsidP="00AA3086">
      <w:pPr>
        <w:ind w:left="2832"/>
        <w:jc w:val="both"/>
        <w:rPr>
          <w:b/>
          <w:i/>
          <w:szCs w:val="24"/>
        </w:rPr>
      </w:pPr>
      <w:r w:rsidRPr="00276CE1">
        <w:rPr>
          <w:b/>
          <w:i/>
          <w:szCs w:val="24"/>
        </w:rPr>
        <w:t xml:space="preserve">BAG NZA 2000, 1332: </w:t>
      </w:r>
    </w:p>
    <w:p w:rsidR="00AA3086" w:rsidRPr="00276CE1" w:rsidRDefault="00AA3086" w:rsidP="00AA3086">
      <w:pPr>
        <w:ind w:left="2832"/>
        <w:jc w:val="both"/>
        <w:rPr>
          <w:i/>
          <w:szCs w:val="24"/>
        </w:rPr>
      </w:pPr>
      <w:r w:rsidRPr="00276CE1">
        <w:rPr>
          <w:i/>
          <w:szCs w:val="24"/>
        </w:rPr>
        <w:t xml:space="preserve">Nach der Rechtsprechung des BAG rechtfertigt die Selbstbeurlaubung eines Arbeitnehmers in der Regel eine außerordentliche Kündigung gem. § 626 BGB. Dabei ist allerdings zu prüfen, ob die Urlaubsverweigerung seitens des Arbeitgebers willkürlich ist oder nicht. Nur eine willkürliche Urlaubsverweigerung seitens des Arbeitgebers ist bei der Interessenabwägung zugunsten des Arbeitnehmers zu berücksichtigen. </w:t>
      </w:r>
    </w:p>
    <w:p w:rsidR="00AA3086" w:rsidRDefault="00AA3086" w:rsidP="00AA3086">
      <w:pPr>
        <w:ind w:left="2832"/>
        <w:jc w:val="both"/>
        <w:rPr>
          <w:szCs w:val="24"/>
        </w:rPr>
      </w:pPr>
    </w:p>
    <w:p w:rsidR="00565156" w:rsidRDefault="00565156" w:rsidP="00AA3086">
      <w:pPr>
        <w:ind w:left="2832"/>
        <w:jc w:val="both"/>
        <w:rPr>
          <w:szCs w:val="24"/>
        </w:rPr>
      </w:pPr>
    </w:p>
    <w:p w:rsidR="00565156" w:rsidRPr="00276CE1" w:rsidRDefault="00565156" w:rsidP="00AA3086">
      <w:pPr>
        <w:ind w:left="2832"/>
        <w:jc w:val="both"/>
        <w:rPr>
          <w:szCs w:val="24"/>
        </w:rPr>
      </w:pPr>
    </w:p>
    <w:p w:rsidR="00AA3086" w:rsidRPr="00276CE1" w:rsidRDefault="00AA3086" w:rsidP="00276CE1">
      <w:pPr>
        <w:ind w:left="2832"/>
        <w:rPr>
          <w:b/>
        </w:rPr>
      </w:pPr>
      <w:r w:rsidRPr="00276CE1">
        <w:rPr>
          <w:b/>
        </w:rPr>
        <w:lastRenderedPageBreak/>
        <w:t xml:space="preserve">Fall </w:t>
      </w:r>
      <w:r w:rsidR="00565156">
        <w:rPr>
          <w:b/>
        </w:rPr>
        <w:t>5</w:t>
      </w:r>
      <w:r w:rsidR="00276CE1" w:rsidRPr="00276CE1">
        <w:rPr>
          <w:b/>
        </w:rPr>
        <w:t>:</w:t>
      </w:r>
    </w:p>
    <w:p w:rsidR="00276CE1" w:rsidRPr="00AA3086" w:rsidRDefault="00276CE1" w:rsidP="00276CE1">
      <w:pPr>
        <w:ind w:left="2832"/>
      </w:pPr>
    </w:p>
    <w:p w:rsidR="00AA3086" w:rsidRPr="00AA3086" w:rsidRDefault="00AA3086" w:rsidP="00AA3086">
      <w:pPr>
        <w:ind w:left="2832"/>
        <w:jc w:val="both"/>
        <w:rPr>
          <w:szCs w:val="24"/>
        </w:rPr>
      </w:pPr>
      <w:r w:rsidRPr="00AA3086">
        <w:rPr>
          <w:szCs w:val="24"/>
        </w:rPr>
        <w:t xml:space="preserve">C ist als Monteur bei einer Stahlbaufirma in Erkner beschäftigt. Für ein in zwei Wochen an einem Freitag stattfindenden Auswärtsspiel von Energie Cottbus beantragt C Urlaub. Der Arbeitgeber teilt ihm mit, dass gerade an diesem Tag eine Bauabnahme stattfindet und er auf jeden Mann angewiesen sei. Nachdem der Urlaub abgelehnt wird, erhält die Stahlbaufirma am Montag vor dem Auswärtsspiel eine Krankschreibung für die gesamte Woche. Am </w:t>
      </w:r>
      <w:r w:rsidR="00276CE1" w:rsidRPr="00AA3086">
        <w:rPr>
          <w:szCs w:val="24"/>
        </w:rPr>
        <w:t>Freitagabend</w:t>
      </w:r>
      <w:r w:rsidRPr="00AA3086">
        <w:rPr>
          <w:szCs w:val="24"/>
        </w:rPr>
        <w:t xml:space="preserve"> sitzt der Vorgesetzte vor dem Fernsehapparat und erkennt bei einer RBB-Sport-Übertragung C in dem Auswärtsfan-Block. Die Stahlbaufirma möchte C kündigen. Wie ist die Rechtslage? </w:t>
      </w:r>
    </w:p>
    <w:p w:rsidR="00AA3086" w:rsidRPr="00AA3086" w:rsidRDefault="00AA3086" w:rsidP="00AA3086">
      <w:pPr>
        <w:ind w:left="2832"/>
        <w:jc w:val="both"/>
        <w:rPr>
          <w:szCs w:val="24"/>
        </w:rPr>
      </w:pPr>
    </w:p>
    <w:p w:rsidR="00AA3086" w:rsidRPr="00276CE1" w:rsidRDefault="00AA3086" w:rsidP="00276CE1">
      <w:pPr>
        <w:ind w:left="2832"/>
        <w:rPr>
          <w:b/>
        </w:rPr>
      </w:pPr>
      <w:r w:rsidRPr="00276CE1">
        <w:rPr>
          <w:b/>
        </w:rPr>
        <w:t xml:space="preserve">Fall </w:t>
      </w:r>
      <w:r w:rsidR="00565156">
        <w:rPr>
          <w:b/>
        </w:rPr>
        <w:t>6</w:t>
      </w:r>
      <w:r w:rsidR="00276CE1" w:rsidRPr="00276CE1">
        <w:rPr>
          <w:b/>
        </w:rPr>
        <w:t>:</w:t>
      </w:r>
    </w:p>
    <w:p w:rsidR="00276CE1" w:rsidRPr="00AA3086" w:rsidRDefault="00276CE1" w:rsidP="00276CE1">
      <w:pPr>
        <w:ind w:left="2832"/>
      </w:pPr>
    </w:p>
    <w:p w:rsidR="00AA3086" w:rsidRPr="00AA3086" w:rsidRDefault="00AA3086" w:rsidP="00AA3086">
      <w:pPr>
        <w:ind w:left="2832"/>
        <w:jc w:val="both"/>
        <w:rPr>
          <w:szCs w:val="24"/>
        </w:rPr>
      </w:pPr>
      <w:r w:rsidRPr="00AA3086">
        <w:rPr>
          <w:szCs w:val="24"/>
        </w:rPr>
        <w:t>C arbeitet seit 2001 als Verkaufsingenieur bei der N-GmbH &amp; Co. KG zu einem monatlichen Bruttogehalt von 5.800,00 €. Zu seinen Aufgaben gehört insbesondere der Vertrieb und Verkauf von Solartechnik. Seine Vorgesetzten bringen in Erfahrung, dass C an Wochenenden sowie in den Abendstunden für ein Konkurrenzunternehmen der Solarbranche tätig ist. Sie möchten ihn fristlos kündigen, obwohl im schriftlichen Arbeitsvertrag ein Wettbewerbsverbot nicht enthalten ist. Wie ist die Rechtslage? (vgl. §§ 60, 74 HGB)</w:t>
      </w:r>
    </w:p>
    <w:p w:rsidR="00AA3086" w:rsidRDefault="00AA3086" w:rsidP="00AA3086">
      <w:pPr>
        <w:ind w:left="2832"/>
        <w:jc w:val="both"/>
        <w:rPr>
          <w:szCs w:val="24"/>
        </w:rPr>
      </w:pPr>
    </w:p>
    <w:p w:rsidR="00276CE1" w:rsidRPr="00276CE1" w:rsidRDefault="00AA3086" w:rsidP="00AA3086">
      <w:pPr>
        <w:ind w:left="2832"/>
        <w:jc w:val="both"/>
        <w:rPr>
          <w:b/>
          <w:i/>
          <w:szCs w:val="24"/>
        </w:rPr>
      </w:pPr>
      <w:r w:rsidRPr="00276CE1">
        <w:rPr>
          <w:b/>
          <w:i/>
          <w:szCs w:val="24"/>
        </w:rPr>
        <w:t xml:space="preserve">LAG Köln NZA-RR 2007, 73: </w:t>
      </w:r>
    </w:p>
    <w:p w:rsidR="00AA3086" w:rsidRPr="00276CE1" w:rsidRDefault="00AA3086" w:rsidP="00AA3086">
      <w:pPr>
        <w:ind w:left="2832"/>
        <w:jc w:val="both"/>
        <w:rPr>
          <w:i/>
          <w:szCs w:val="24"/>
        </w:rPr>
      </w:pPr>
      <w:r w:rsidRPr="00276CE1">
        <w:rPr>
          <w:i/>
          <w:szCs w:val="24"/>
        </w:rPr>
        <w:t>Ein Verstoß gegen das allgemeine Wettbewerbsverbot stellt im bestehenden Arbeitsverhältnis einen an sich zur außerordentlichen Kündigung berechtigenden Umstand dar (vgl. ferner BAG NJW 1988, 438).</w:t>
      </w:r>
    </w:p>
    <w:p w:rsidR="00AA3086" w:rsidRPr="00AA3086" w:rsidRDefault="00AA3086" w:rsidP="00AA3086">
      <w:pPr>
        <w:ind w:left="2832"/>
        <w:jc w:val="both"/>
        <w:rPr>
          <w:szCs w:val="24"/>
        </w:rPr>
      </w:pPr>
    </w:p>
    <w:p w:rsidR="00AA3086" w:rsidRPr="00276CE1" w:rsidRDefault="00AA3086" w:rsidP="00276CE1">
      <w:pPr>
        <w:ind w:left="2832"/>
        <w:rPr>
          <w:b/>
        </w:rPr>
      </w:pPr>
      <w:r w:rsidRPr="00276CE1">
        <w:rPr>
          <w:b/>
        </w:rPr>
        <w:t xml:space="preserve">Fall </w:t>
      </w:r>
      <w:r w:rsidR="00565156">
        <w:rPr>
          <w:b/>
        </w:rPr>
        <w:t>7</w:t>
      </w:r>
      <w:r w:rsidR="00276CE1" w:rsidRPr="00276CE1">
        <w:rPr>
          <w:b/>
        </w:rPr>
        <w:t>:</w:t>
      </w:r>
    </w:p>
    <w:p w:rsidR="00276CE1" w:rsidRPr="00AA3086" w:rsidRDefault="00276CE1" w:rsidP="00276CE1">
      <w:pPr>
        <w:ind w:left="2832"/>
      </w:pPr>
    </w:p>
    <w:p w:rsidR="00AA3086" w:rsidRPr="00AA3086" w:rsidRDefault="00AA3086" w:rsidP="00AA3086">
      <w:pPr>
        <w:ind w:left="2832"/>
        <w:jc w:val="both"/>
        <w:rPr>
          <w:szCs w:val="24"/>
        </w:rPr>
      </w:pPr>
      <w:r w:rsidRPr="00AA3086">
        <w:rPr>
          <w:szCs w:val="24"/>
        </w:rPr>
        <w:t>A ist seit 18 Jahren Kundendienstmonteur. Im August 20</w:t>
      </w:r>
      <w:r w:rsidR="007A31BD">
        <w:rPr>
          <w:szCs w:val="24"/>
        </w:rPr>
        <w:t>1</w:t>
      </w:r>
      <w:r w:rsidRPr="00AA3086">
        <w:rPr>
          <w:szCs w:val="24"/>
        </w:rPr>
        <w:t xml:space="preserve">9 verursacht er auf einer Fahrt zu einem Kunden einen schweren Verkehrsunfall. Bei A wird ein Blutalkoholgehalt von 2,1 Promille festgestellt, woraufhin er zu einer Geldstrafe wegen Trunkenheitsfahrt sowie zu einem Jahr Führerscheinentzug verurteilt wird. Der Arbeitgeber möchte A kündigen, worauf dieser mitteilt, dass er alkoholkrank und bereit sei, eine Entziehungskur durchzuführen. Auch könne man ihn im Innendienst weiterbeschäftigen. Wie ist die Rechtslage? </w:t>
      </w:r>
    </w:p>
    <w:p w:rsidR="00AA3086" w:rsidRPr="00AA3086" w:rsidRDefault="00AA3086" w:rsidP="00AA3086">
      <w:pPr>
        <w:ind w:left="2832"/>
        <w:jc w:val="both"/>
        <w:rPr>
          <w:szCs w:val="24"/>
        </w:rPr>
      </w:pPr>
    </w:p>
    <w:p w:rsidR="00276CE1" w:rsidRPr="00276CE1" w:rsidRDefault="00AA3086" w:rsidP="00AA3086">
      <w:pPr>
        <w:ind w:left="2832"/>
        <w:jc w:val="both"/>
        <w:rPr>
          <w:b/>
          <w:i/>
          <w:szCs w:val="24"/>
        </w:rPr>
      </w:pPr>
      <w:r w:rsidRPr="00276CE1">
        <w:rPr>
          <w:b/>
          <w:i/>
          <w:szCs w:val="24"/>
        </w:rPr>
        <w:t xml:space="preserve">BAG NZA 1999, 863: </w:t>
      </w:r>
    </w:p>
    <w:p w:rsidR="00AA3086" w:rsidRPr="00276CE1" w:rsidRDefault="00AA3086" w:rsidP="00AA3086">
      <w:pPr>
        <w:ind w:left="2832"/>
        <w:jc w:val="both"/>
        <w:rPr>
          <w:i/>
          <w:szCs w:val="24"/>
        </w:rPr>
      </w:pPr>
      <w:r w:rsidRPr="00276CE1">
        <w:rPr>
          <w:i/>
          <w:szCs w:val="24"/>
        </w:rPr>
        <w:t xml:space="preserve">Auch schuldlose Pflichtverletzungen des Arbeitnehmers können ausnahmsweise einen wichtigen Grund zur verhaltensbedingten Arbeitgeberkündigung darstellen. </w:t>
      </w:r>
    </w:p>
    <w:p w:rsidR="00AA3086" w:rsidRDefault="00AA3086" w:rsidP="00AA3086">
      <w:pPr>
        <w:ind w:left="2832"/>
        <w:jc w:val="both"/>
        <w:rPr>
          <w:szCs w:val="24"/>
        </w:rPr>
      </w:pPr>
    </w:p>
    <w:p w:rsidR="00565156" w:rsidRDefault="00565156" w:rsidP="00AA3086">
      <w:pPr>
        <w:ind w:left="2832"/>
        <w:jc w:val="both"/>
        <w:rPr>
          <w:szCs w:val="24"/>
        </w:rPr>
      </w:pPr>
    </w:p>
    <w:p w:rsidR="00565156" w:rsidRPr="00276CE1" w:rsidRDefault="00565156" w:rsidP="00AA3086">
      <w:pPr>
        <w:ind w:left="2832"/>
        <w:jc w:val="both"/>
        <w:rPr>
          <w:szCs w:val="24"/>
        </w:rPr>
      </w:pPr>
    </w:p>
    <w:p w:rsidR="00AA3086" w:rsidRPr="00276CE1" w:rsidRDefault="00AA3086" w:rsidP="00276CE1">
      <w:pPr>
        <w:ind w:left="2832"/>
        <w:rPr>
          <w:b/>
          <w:lang w:val="it-IT"/>
        </w:rPr>
      </w:pPr>
      <w:r w:rsidRPr="00276CE1">
        <w:rPr>
          <w:b/>
          <w:lang w:val="it-IT"/>
        </w:rPr>
        <w:lastRenderedPageBreak/>
        <w:t xml:space="preserve">Fall </w:t>
      </w:r>
      <w:r w:rsidR="00565156">
        <w:rPr>
          <w:b/>
          <w:lang w:val="it-IT"/>
        </w:rPr>
        <w:t>8</w:t>
      </w:r>
      <w:r w:rsidR="00276CE1" w:rsidRPr="00276CE1">
        <w:rPr>
          <w:b/>
          <w:lang w:val="it-IT"/>
        </w:rPr>
        <w:t>:</w:t>
      </w:r>
    </w:p>
    <w:p w:rsidR="00276CE1" w:rsidRPr="00AA3086" w:rsidRDefault="00276CE1" w:rsidP="00276CE1">
      <w:pPr>
        <w:ind w:left="2832"/>
        <w:rPr>
          <w:lang w:val="it-IT"/>
        </w:rPr>
      </w:pPr>
    </w:p>
    <w:p w:rsidR="00AA3086" w:rsidRDefault="00AA3086" w:rsidP="00AA3086">
      <w:pPr>
        <w:ind w:left="2832"/>
        <w:jc w:val="both"/>
        <w:rPr>
          <w:szCs w:val="24"/>
        </w:rPr>
      </w:pPr>
      <w:r w:rsidRPr="00AA3086">
        <w:rPr>
          <w:szCs w:val="24"/>
        </w:rPr>
        <w:t xml:space="preserve">V ist seit drei Jahren als Servicemitarbeiter in einer Autowaschstraße mit 17 Arbeitnehmern zu einem Stundenlohn von </w:t>
      </w:r>
      <w:r w:rsidR="007A31BD">
        <w:rPr>
          <w:szCs w:val="24"/>
        </w:rPr>
        <w:t>11</w:t>
      </w:r>
      <w:r w:rsidRPr="00AA3086">
        <w:rPr>
          <w:szCs w:val="24"/>
        </w:rPr>
        <w:t xml:space="preserve">,50 € brutto beschäftigt. Die Arbeit in der Waschstraße erfolgt in einem 3-Mann-Team. Die Mitarbeiter reinigen die in die Waschstraße einfahrenden Fahrzeuge mit Spritzschläuchen, Schrubbern und Lappen vor, wobei jedem Mitarbeiter dabei eine bestimmte Tätigkeit zugewiesen ist und die einzelnen Tätigkeiten ineinander greifen. Mit Schreiben vom 27. September 2015 mahnte der Arbeitgeber den V ab, am 19. und 21. September 2015 statt um 7:30 Uhr erst um 7:40 Uhr seinen Dienst aufgenommen zu haben. Mit Abmahnung vom 16. Dezember 2015 rügte der Arbeitgeber, dass V am 14. und 15. Dezember 2015 statt um 7:30 Uhr erst um 7:34 Uhr arbeitsbereit gewesen sei. Am 17. Dezember 2015 erschien V wiederum fünf Minuten zu spät zur Arbeit. Diese Verspätung nahm der Arbeitgeber zum Anlass, V fristgerecht zu kündigen. Wie ist die Rechtslage? </w:t>
      </w:r>
    </w:p>
    <w:p w:rsidR="00276CE1" w:rsidRPr="00AA3086" w:rsidRDefault="00276CE1" w:rsidP="00AA3086">
      <w:pPr>
        <w:ind w:left="2832"/>
        <w:jc w:val="both"/>
        <w:rPr>
          <w:szCs w:val="24"/>
        </w:rPr>
      </w:pPr>
    </w:p>
    <w:p w:rsidR="00276CE1" w:rsidRPr="00276CE1" w:rsidRDefault="00AA3086" w:rsidP="00AA3086">
      <w:pPr>
        <w:ind w:left="2832"/>
        <w:jc w:val="both"/>
        <w:rPr>
          <w:b/>
          <w:i/>
          <w:szCs w:val="24"/>
        </w:rPr>
      </w:pPr>
      <w:r w:rsidRPr="00276CE1">
        <w:rPr>
          <w:b/>
          <w:i/>
          <w:szCs w:val="24"/>
        </w:rPr>
        <w:t xml:space="preserve">LAG Schleswig Holstein NZA-RR 2007, 129: </w:t>
      </w:r>
    </w:p>
    <w:p w:rsidR="00AA3086" w:rsidRPr="00276CE1" w:rsidRDefault="00AA3086" w:rsidP="00AA3086">
      <w:pPr>
        <w:ind w:left="2832"/>
        <w:jc w:val="both"/>
        <w:rPr>
          <w:i/>
          <w:szCs w:val="24"/>
        </w:rPr>
      </w:pPr>
      <w:r w:rsidRPr="00276CE1">
        <w:rPr>
          <w:i/>
          <w:szCs w:val="24"/>
        </w:rPr>
        <w:t xml:space="preserve">Wiederholtes zu spät kommen berechtigt nach erfolgloser Abmahnung auch dann zur ordentlichen Kündigung, wenn die einzelnen Verspätungen eher gering sind, aber zu Betriebsablaufstörungen führen. </w:t>
      </w:r>
    </w:p>
    <w:p w:rsidR="00AA3086" w:rsidRDefault="00AA3086" w:rsidP="00AA3086">
      <w:pPr>
        <w:ind w:left="2832"/>
        <w:jc w:val="both"/>
        <w:rPr>
          <w:szCs w:val="24"/>
        </w:rPr>
      </w:pPr>
    </w:p>
    <w:p w:rsidR="00AA3086" w:rsidRPr="00276CE1" w:rsidRDefault="00AA3086" w:rsidP="00276CE1">
      <w:pPr>
        <w:ind w:left="2832"/>
        <w:rPr>
          <w:b/>
          <w:lang w:val="it-IT"/>
        </w:rPr>
      </w:pPr>
      <w:r w:rsidRPr="00276CE1">
        <w:rPr>
          <w:b/>
          <w:lang w:val="it-IT"/>
        </w:rPr>
        <w:t xml:space="preserve">Fall </w:t>
      </w:r>
      <w:r w:rsidR="00565156">
        <w:rPr>
          <w:b/>
          <w:lang w:val="it-IT"/>
        </w:rPr>
        <w:t>9</w:t>
      </w:r>
      <w:r w:rsidR="00276CE1" w:rsidRPr="00276CE1">
        <w:rPr>
          <w:b/>
          <w:lang w:val="it-IT"/>
        </w:rPr>
        <w:t>:</w:t>
      </w:r>
    </w:p>
    <w:p w:rsidR="00276CE1" w:rsidRPr="00AA3086" w:rsidRDefault="00276CE1" w:rsidP="00276CE1">
      <w:pPr>
        <w:ind w:left="2832"/>
        <w:rPr>
          <w:lang w:val="it-IT"/>
        </w:rPr>
      </w:pPr>
    </w:p>
    <w:p w:rsidR="00AA3086" w:rsidRPr="00AA3086" w:rsidRDefault="00AA3086" w:rsidP="00AA3086">
      <w:pPr>
        <w:ind w:left="2832"/>
        <w:jc w:val="both"/>
        <w:rPr>
          <w:szCs w:val="24"/>
        </w:rPr>
      </w:pPr>
      <w:r w:rsidRPr="00AA3086">
        <w:rPr>
          <w:szCs w:val="24"/>
        </w:rPr>
        <w:t xml:space="preserve">A ist als Altenpflegerin in einem Seniorenstift beschäftigt. Es besteht eine dienstliche Anweisung, dass Lebensmittel, die für die Senioren bestimmt sind, vom Personal nicht verzehrt werden dürfen. Auch ist der Verzehr auf den Heimfluren aus Hygienevorschriften verboten. A wird von ihrem Vorgesetzten dabei erwischt, wie sie ein Brötchen, das für die Senioren bestimmt ist, auf dem Flur verzehrt. Das Altenheim möchte A fristlos kündigen. Wie ist die Rechtslage? </w:t>
      </w:r>
    </w:p>
    <w:p w:rsidR="00AA3086" w:rsidRPr="00AA3086" w:rsidRDefault="00AA3086" w:rsidP="00AA3086">
      <w:pPr>
        <w:ind w:left="2832"/>
        <w:jc w:val="both"/>
        <w:rPr>
          <w:szCs w:val="24"/>
        </w:rPr>
      </w:pPr>
    </w:p>
    <w:p w:rsidR="009E374E" w:rsidRPr="009E374E" w:rsidRDefault="00AA3086" w:rsidP="00AA3086">
      <w:pPr>
        <w:ind w:left="2832"/>
        <w:jc w:val="both"/>
        <w:rPr>
          <w:b/>
          <w:i/>
          <w:szCs w:val="24"/>
        </w:rPr>
      </w:pPr>
      <w:r w:rsidRPr="009E374E">
        <w:rPr>
          <w:b/>
          <w:i/>
          <w:szCs w:val="24"/>
        </w:rPr>
        <w:t xml:space="preserve">LAG Düsseldorf NZA-RR 2006, 576: </w:t>
      </w:r>
    </w:p>
    <w:p w:rsidR="00AA3086" w:rsidRPr="009E374E" w:rsidRDefault="00AA3086" w:rsidP="00AA3086">
      <w:pPr>
        <w:ind w:left="2832"/>
        <w:jc w:val="both"/>
        <w:rPr>
          <w:i/>
          <w:szCs w:val="24"/>
        </w:rPr>
      </w:pPr>
      <w:r w:rsidRPr="009E374E">
        <w:rPr>
          <w:i/>
          <w:szCs w:val="24"/>
        </w:rPr>
        <w:t xml:space="preserve">Ein Arbeitnehmer bricht durch eine Eigentumsverletzung unabhängig vom Wert des Schadens in erheblicher Weise das Vertrauen des Arbeitgebers. Dies gilt auch für den Diebstahl bzw. die Unterschlagung geringwertiger Sachen aus dem Eigentum des Arbeitgebers. Ergänzend sind die Einzelfallumstände und die Interessen beider Vertragsteile zu berücksichtigen (vgl. ferner LAG Rheinland Pfalz NZA-RR 2009, 303; LAG Berlin-Brandenburg NZA-RR 2009, 188; ferner BAG vom 10. Juni 2010, 2 AZR 541/09 – </w:t>
      </w:r>
      <w:proofErr w:type="spellStart"/>
      <w:r w:rsidRPr="009E374E">
        <w:rPr>
          <w:i/>
          <w:szCs w:val="24"/>
        </w:rPr>
        <w:t>Emmely</w:t>
      </w:r>
      <w:proofErr w:type="spellEnd"/>
      <w:r w:rsidRPr="009E374E">
        <w:rPr>
          <w:i/>
          <w:szCs w:val="24"/>
        </w:rPr>
        <w:t>-Fall).</w:t>
      </w:r>
    </w:p>
    <w:p w:rsidR="00AA3086" w:rsidRDefault="00AA3086" w:rsidP="00AA3086">
      <w:pPr>
        <w:ind w:left="2832"/>
        <w:jc w:val="both"/>
        <w:rPr>
          <w:szCs w:val="24"/>
        </w:rPr>
      </w:pPr>
    </w:p>
    <w:p w:rsidR="00D71424" w:rsidRDefault="00D71424" w:rsidP="00AA3086">
      <w:pPr>
        <w:ind w:left="2832"/>
        <w:jc w:val="both"/>
        <w:rPr>
          <w:szCs w:val="24"/>
        </w:rPr>
      </w:pPr>
    </w:p>
    <w:p w:rsidR="00164F46" w:rsidRDefault="00164F46" w:rsidP="00AA3086">
      <w:pPr>
        <w:ind w:left="2832"/>
        <w:jc w:val="both"/>
        <w:rPr>
          <w:szCs w:val="24"/>
        </w:rPr>
      </w:pPr>
    </w:p>
    <w:p w:rsidR="00164F46" w:rsidRDefault="00164F46" w:rsidP="00AA3086">
      <w:pPr>
        <w:ind w:left="2832"/>
        <w:jc w:val="both"/>
        <w:rPr>
          <w:szCs w:val="24"/>
        </w:rPr>
      </w:pPr>
    </w:p>
    <w:p w:rsidR="002A6C4C" w:rsidRPr="002A6C4C" w:rsidRDefault="002A6C4C" w:rsidP="002A6C4C">
      <w:pPr>
        <w:ind w:left="2829"/>
        <w:jc w:val="both"/>
        <w:rPr>
          <w:b/>
          <w:szCs w:val="24"/>
        </w:rPr>
      </w:pPr>
      <w:r>
        <w:rPr>
          <w:b/>
        </w:rPr>
        <w:lastRenderedPageBreak/>
        <w:t xml:space="preserve">Weitere aktuelle </w:t>
      </w:r>
      <w:r w:rsidRPr="0096729F">
        <w:rPr>
          <w:b/>
        </w:rPr>
        <w:t xml:space="preserve">Beispiele für außerordentliche </w:t>
      </w:r>
      <w:r w:rsidRPr="002A6C4C">
        <w:rPr>
          <w:b/>
          <w:szCs w:val="24"/>
        </w:rPr>
        <w:t>Kündigungen aus der arbeitsgerichtlichen Rechtsprechung</w:t>
      </w:r>
    </w:p>
    <w:p w:rsidR="002A6C4C" w:rsidRPr="002A6C4C" w:rsidRDefault="002A6C4C" w:rsidP="002A6C4C">
      <w:pPr>
        <w:ind w:left="2832"/>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Diebstahl geringwertiger Güter</w:t>
      </w:r>
      <w:r w:rsidRPr="002A6C4C">
        <w:rPr>
          <w:szCs w:val="24"/>
        </w:rPr>
        <w:t xml:space="preserve"> (2 kg zubereiteter Rotkohl aus einer Truppenküche) - Abmahnung entbehrlich, allerdings wäre im Rahmen einer Interessenabwägung die Fortsetzung des Arbeitsverhältnisses bis zum Ablauf der ordentlichen Kündigungsfrist zumutbar. Umdeutung in eine ordentliche Kündigung scheidet mangels Beteiligung des Personalrates aus (LAG Schleswig-Holstein vom 18. Dezember 2016 – 6 Sa 203/13).</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Strafbefehl wegen Urkundendelikten</w:t>
      </w:r>
      <w:r w:rsidRPr="002A6C4C">
        <w:rPr>
          <w:szCs w:val="24"/>
        </w:rPr>
        <w:t>, die einen Bezug zum Arbeitsverhältnis aufweisen - Fristlose Kündigung auch während der Freistellungsphase einer Altersteilzeit möglich (LAG Schleswig-Holstein vom 20. Mai 2014 – 2 Sa 410/13).</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Erhebliche Ehrverletzungen</w:t>
      </w:r>
      <w:r w:rsidRPr="002A6C4C">
        <w:rPr>
          <w:szCs w:val="24"/>
        </w:rPr>
        <w:t xml:space="preserve"> (Beleidigung des Vorgesetzten in Gegenwart von Kollegen) – Maßgebend, ob der Vorfall nach außen getragen wurde und den Betriebsfrieden gestört hat (LAG Rheinland-Pfalz vom 24. Juli 2014 – 5 Sa 55/14).</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 xml:space="preserve">Manipulation des Zeiterfassungssystems </w:t>
      </w:r>
      <w:r w:rsidRPr="002A6C4C">
        <w:rPr>
          <w:szCs w:val="24"/>
        </w:rPr>
        <w:t>– Sofern ein systematisches und vorsätzliches Handeln im erheblichen Umfang vorliegt, ist fristlose Kündigung ohne vorherige Abmahnung auch nach 26jähriger Betriebszugehörigkeit gerechtfertigt (LAG Hessen vom 17. Februar 2014 – 16 Sa 1299/13).</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Vortäuschung einer krankheitsbedingten Arbeitsunfähigkeit</w:t>
      </w:r>
      <w:r w:rsidRPr="002A6C4C">
        <w:rPr>
          <w:szCs w:val="24"/>
        </w:rPr>
        <w:t xml:space="preserve"> – Rechtfertigt auch bei dringendem Tatverdacht eine fristlose Kündigung. Darlegungs- und Beweislast liegt beim Arbeitgeber (LAG Berlin-Brandenburg vom 12. Februar 2015 – 21 Sa 1902/14).</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Untersuchungshaft des Arbeitnehmers</w:t>
      </w:r>
      <w:r w:rsidRPr="002A6C4C">
        <w:rPr>
          <w:szCs w:val="24"/>
        </w:rPr>
        <w:t xml:space="preserve"> – Unverzügliche Anzeigepflicht gegenüber dem Arbeitgeber und Mitteilung der voraussichtlichen Haftdauer. Fristlose Kündigung nur bei beharrlicher Verletzung der vorgenannten Pflichten. Strafrechtlich Vorwürfe standen nicht um Zusammenhang mit dem Arbeitsverhältnis (BAG NZA 2015, 1180).</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Beharrliche Weigerung</w:t>
      </w:r>
      <w:r w:rsidRPr="002A6C4C">
        <w:rPr>
          <w:szCs w:val="24"/>
        </w:rPr>
        <w:t xml:space="preserve"> eines Busfahrers, ein bestimmtes Benzin-Spar-System zu benutzen bzw. zu beachten – Außerordentliche Kündigung nicht gerechtfertigt, ordentliche Kündigung gerechtfertigt (LAG Hamm vom 16. Oktober 2015 – 17 Sa 1222/13).</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Verlassen des Arbeitsplatzes/Hoher Vermögensschaden</w:t>
      </w:r>
      <w:r w:rsidRPr="002A6C4C">
        <w:rPr>
          <w:szCs w:val="24"/>
        </w:rPr>
        <w:t xml:space="preserve"> – Außerordentliche Kündigung eines Wachmanns, der seinen </w:t>
      </w:r>
      <w:r w:rsidRPr="002A6C4C">
        <w:rPr>
          <w:szCs w:val="24"/>
        </w:rPr>
        <w:lastRenderedPageBreak/>
        <w:t>Arbeitsplatz am Eingang einer Münzprägeanstalt verlassen hatte ohne für Ersatz zu sorgen (In Folge fehlte Gold im Wert von 74.000,00 €) - Fristlose Kündigung unter dem Gesichtspunkt der schweren Pflichtverletzung zulässig (LAG Berlin-Brandenburg vom 9. September 2015 – 17 Sa 810/15).</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Drohung eines Arbeitnehmers</w:t>
      </w:r>
      <w:r w:rsidRPr="002A6C4C">
        <w:rPr>
          <w:szCs w:val="24"/>
        </w:rPr>
        <w:t xml:space="preserve"> – Die wohldurchdachte Drohung gegenüber einem Vorgesetzten, er werde Betriebsunterlagen an Medien zur Veröffentlichung weiterreichen, stellt einen außerordentlichen Kündigungsgrund dar (LAG Rheinland-Pfalz vom 15. Mai 2014 – 5 Sa 60/14).</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Unterschriftenaktion</w:t>
      </w:r>
      <w:r w:rsidRPr="002A6C4C">
        <w:rPr>
          <w:szCs w:val="24"/>
        </w:rPr>
        <w:t xml:space="preserve"> mit dem Wunsch auf Wiedereinführung einer 35-Stunden-Woche – Rechtfertigt keine Kündigung. Vorhaben ist vom Erörterungs- und Beschwerderecht von Arbeitnehmern nach §§ 81, 84 BetrVG gedeckt.</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Insolvenzfall</w:t>
      </w:r>
      <w:r w:rsidRPr="002A6C4C">
        <w:rPr>
          <w:szCs w:val="24"/>
        </w:rPr>
        <w:t xml:space="preserve"> – Außerordentliche Kündigung aus betrieblichen Gründen auch im Insolvenzfall unzulässig. Arbeitgeber ist zuzumuten, die Kündigungsfrist einzuhalten (BAG NZA 2014, 895).</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Die außerordentliche Eigenkündigung</w:t>
      </w:r>
      <w:r w:rsidRPr="002A6C4C">
        <w:rPr>
          <w:szCs w:val="24"/>
        </w:rPr>
        <w:t xml:space="preserve"> eines leitenden Krankenhausarztes ist wirksam, wenn trotz Abmahnung durch den Arbeitnehmer kein ausreichendes nichtärztliches Personal zur Verfügung gestellt wurde (LAG Baden-Württemberg vom 11. Oktober 2013 – 12 Sa 15/13).</w:t>
      </w:r>
    </w:p>
    <w:p w:rsidR="002A6C4C" w:rsidRPr="002A6C4C" w:rsidRDefault="002A6C4C" w:rsidP="002A6C4C">
      <w:pPr>
        <w:ind w:left="2829"/>
        <w:jc w:val="both"/>
        <w:rPr>
          <w:szCs w:val="24"/>
        </w:rPr>
      </w:pPr>
    </w:p>
    <w:p w:rsidR="002A6C4C" w:rsidRPr="002A6C4C" w:rsidRDefault="002A6C4C" w:rsidP="002A6C4C">
      <w:pPr>
        <w:pStyle w:val="Listenabsatz"/>
        <w:numPr>
          <w:ilvl w:val="0"/>
          <w:numId w:val="24"/>
        </w:numPr>
        <w:ind w:left="3189"/>
        <w:jc w:val="both"/>
        <w:rPr>
          <w:szCs w:val="24"/>
        </w:rPr>
      </w:pPr>
      <w:r w:rsidRPr="002A6C4C">
        <w:rPr>
          <w:b/>
          <w:szCs w:val="24"/>
        </w:rPr>
        <w:t>Strafrechtliche Verurteilung</w:t>
      </w:r>
      <w:r w:rsidRPr="002A6C4C">
        <w:rPr>
          <w:szCs w:val="24"/>
        </w:rPr>
        <w:t xml:space="preserve"> – Grundsätzlich keine Bindung der Zivil- oder Arbeitsgerichte an die Feststellungen des Strafgerichts. Allerdings Berücksichtigung im Wege der freien Beweiswürdigung nach § 286 Abs. 1 ZPO sowie des Urkundenbeweises nach § 417 ZPO (BAG vom 23. Oktober 2014 – BAGE 149, 355 = NZA 2015, 353).</w:t>
      </w:r>
    </w:p>
    <w:p w:rsidR="002A6C4C" w:rsidRPr="002A6C4C" w:rsidRDefault="002A6C4C" w:rsidP="002A6C4C">
      <w:pPr>
        <w:ind w:left="2832"/>
        <w:rPr>
          <w:szCs w:val="24"/>
        </w:rPr>
      </w:pPr>
    </w:p>
    <w:p w:rsidR="00AA3086" w:rsidRPr="002A6C4C" w:rsidRDefault="00AA3086" w:rsidP="009E374E">
      <w:pPr>
        <w:ind w:left="2832"/>
        <w:rPr>
          <w:b/>
          <w:szCs w:val="24"/>
        </w:rPr>
      </w:pPr>
      <w:r w:rsidRPr="002A6C4C">
        <w:rPr>
          <w:b/>
          <w:szCs w:val="24"/>
        </w:rPr>
        <w:t xml:space="preserve">Fall </w:t>
      </w:r>
      <w:r w:rsidR="00565156" w:rsidRPr="002A6C4C">
        <w:rPr>
          <w:b/>
          <w:szCs w:val="24"/>
        </w:rPr>
        <w:t>10</w:t>
      </w:r>
      <w:r w:rsidR="009E374E" w:rsidRPr="002A6C4C">
        <w:rPr>
          <w:b/>
          <w:szCs w:val="24"/>
        </w:rPr>
        <w:t>:</w:t>
      </w:r>
    </w:p>
    <w:p w:rsidR="009E374E" w:rsidRPr="002A6C4C" w:rsidRDefault="009E374E" w:rsidP="009E374E">
      <w:pPr>
        <w:ind w:left="2832"/>
        <w:rPr>
          <w:szCs w:val="24"/>
        </w:rPr>
      </w:pPr>
    </w:p>
    <w:p w:rsidR="00AA3086" w:rsidRPr="00AA3086" w:rsidRDefault="00AA3086" w:rsidP="00AA3086">
      <w:pPr>
        <w:ind w:left="2832"/>
        <w:jc w:val="both"/>
        <w:rPr>
          <w:szCs w:val="24"/>
        </w:rPr>
      </w:pPr>
      <w:r w:rsidRPr="002A6C4C">
        <w:rPr>
          <w:szCs w:val="24"/>
        </w:rPr>
        <w:t>B ist Anlageberater in einer deutschen Großbank in Frankfurt/Main. Zu seinen Aufgaben gehört der Verkauf und Vertrieb von Fondsanleihen sowie sonstigen Finanzprodukten. Im vergangenen Jahr 20</w:t>
      </w:r>
      <w:r w:rsidR="007A31BD" w:rsidRPr="002A6C4C">
        <w:rPr>
          <w:szCs w:val="24"/>
        </w:rPr>
        <w:t>1</w:t>
      </w:r>
      <w:r w:rsidRPr="002A6C4C">
        <w:rPr>
          <w:szCs w:val="24"/>
        </w:rPr>
        <w:t>8</w:t>
      </w:r>
      <w:r w:rsidRPr="00AA3086">
        <w:rPr>
          <w:szCs w:val="24"/>
        </w:rPr>
        <w:t xml:space="preserve"> lag die Verkaufsquote von B durchweg 30 bis 40 % unter der seiner zwölf anderen Kollegen. Die Großbank betrachtet B als „</w:t>
      </w:r>
      <w:proofErr w:type="spellStart"/>
      <w:r w:rsidRPr="00AA3086">
        <w:rPr>
          <w:szCs w:val="24"/>
        </w:rPr>
        <w:t>Under</w:t>
      </w:r>
      <w:proofErr w:type="spellEnd"/>
      <w:r w:rsidRPr="00AA3086">
        <w:rPr>
          <w:szCs w:val="24"/>
        </w:rPr>
        <w:t xml:space="preserve">-Performer“ und möchte ihm aus diesem Grunde kündigen. Wie ist die Rechtslage? </w:t>
      </w:r>
    </w:p>
    <w:p w:rsidR="00AA3086" w:rsidRDefault="00AA3086" w:rsidP="00AA3086">
      <w:pPr>
        <w:ind w:left="2832"/>
        <w:jc w:val="both"/>
        <w:rPr>
          <w:szCs w:val="24"/>
        </w:rPr>
      </w:pPr>
    </w:p>
    <w:p w:rsidR="002A6C4C" w:rsidRDefault="002A6C4C" w:rsidP="00AA3086">
      <w:pPr>
        <w:ind w:left="2832"/>
        <w:jc w:val="both"/>
        <w:rPr>
          <w:szCs w:val="24"/>
        </w:rPr>
      </w:pPr>
    </w:p>
    <w:p w:rsidR="002A6C4C" w:rsidRPr="00AA3086" w:rsidRDefault="002A6C4C" w:rsidP="00AA3086">
      <w:pPr>
        <w:ind w:left="2832"/>
        <w:jc w:val="both"/>
        <w:rPr>
          <w:szCs w:val="24"/>
        </w:rPr>
      </w:pPr>
    </w:p>
    <w:p w:rsidR="009E374E" w:rsidRPr="009E374E" w:rsidRDefault="00AA3086" w:rsidP="00AA3086">
      <w:pPr>
        <w:ind w:left="2832"/>
        <w:jc w:val="both"/>
        <w:rPr>
          <w:b/>
          <w:i/>
          <w:szCs w:val="24"/>
        </w:rPr>
      </w:pPr>
      <w:r w:rsidRPr="009E374E">
        <w:rPr>
          <w:b/>
          <w:i/>
          <w:szCs w:val="24"/>
        </w:rPr>
        <w:lastRenderedPageBreak/>
        <w:t>BAGE 109, 87:</w:t>
      </w:r>
    </w:p>
    <w:p w:rsidR="00AA3086" w:rsidRPr="009E374E" w:rsidRDefault="00AA3086" w:rsidP="00AA3086">
      <w:pPr>
        <w:ind w:left="2832"/>
        <w:jc w:val="both"/>
        <w:rPr>
          <w:i/>
          <w:szCs w:val="24"/>
        </w:rPr>
      </w:pPr>
      <w:r w:rsidRPr="009E374E">
        <w:rPr>
          <w:i/>
          <w:szCs w:val="24"/>
        </w:rPr>
        <w:t>Auf Pflichtverletzung beruhende Schlechtleistungen sind geeignet, eine ordentliche verhaltensbedingte Kündigung sozial zu rechtfertigen. Ob eine Leistung als Schlechtleistung anzusehen ist, beurteilt sich nach den vertraglichen Vereinbarungen der Parteien. Ist die Arbeitsleistung im Vertrag, wie meistens, der Menge und der Qualität nach nicht oder nicht näher beschrieben, so richtet sich der Inhalt des Leistungsversprechens zum einen nach dem vom Arbeitgeber durch Ausübung des Direktionsrechts festzulegenden Arbeitsinhalt und zum anderen nach dem persönlichen, subjektiven Leistungsvermögen des Arbeitnehmers. Der Arbeitnehmer muss tun was er soll, und zwar so gut wie er kann. Die Leistungspflicht ist nicht starr sondern dynamisch und orientiert sich an der Leistungsfähigkeit des Arbeitnehmers. Ein objektiver Maßstab ist nicht anzusetzen. Der bloße Umstand, dass der Arbeitnehmer unterdurchschnittliche Leistungen erbringt, muss nicht zwangsläufig bedeuten, dass der Arbeitnehmer seine persönliche Leistungsfähigkeit nicht ausschöpft. In einer Vergleichsgruppe ist stets ein Angehöriger der Gruppe das Schlusslicht (vgl. ferner BAG NJW 2008, S. 3019)</w:t>
      </w:r>
    </w:p>
    <w:p w:rsidR="009E374E" w:rsidRDefault="009E374E" w:rsidP="009E374E">
      <w:pPr>
        <w:ind w:left="2832"/>
      </w:pPr>
    </w:p>
    <w:p w:rsidR="00AA3086" w:rsidRPr="009E374E" w:rsidRDefault="00AA3086" w:rsidP="009E374E">
      <w:pPr>
        <w:ind w:left="2832"/>
        <w:rPr>
          <w:b/>
        </w:rPr>
      </w:pPr>
      <w:r w:rsidRPr="009E374E">
        <w:rPr>
          <w:b/>
        </w:rPr>
        <w:t>Fall 1</w:t>
      </w:r>
      <w:r w:rsidR="00565156">
        <w:rPr>
          <w:b/>
        </w:rPr>
        <w:t>1</w:t>
      </w:r>
      <w:r w:rsidR="009E374E" w:rsidRPr="009E374E">
        <w:rPr>
          <w:b/>
        </w:rPr>
        <w:t>:</w:t>
      </w:r>
    </w:p>
    <w:p w:rsidR="009E374E" w:rsidRPr="00AA3086" w:rsidRDefault="009E374E" w:rsidP="009E374E">
      <w:pPr>
        <w:ind w:left="2832"/>
      </w:pPr>
    </w:p>
    <w:p w:rsidR="00AA3086" w:rsidRPr="00AA3086" w:rsidRDefault="00AA3086" w:rsidP="00AA3086">
      <w:pPr>
        <w:ind w:left="2832"/>
        <w:jc w:val="both"/>
        <w:rPr>
          <w:szCs w:val="24"/>
        </w:rPr>
      </w:pPr>
      <w:r w:rsidRPr="00AA3086">
        <w:rPr>
          <w:szCs w:val="24"/>
        </w:rPr>
        <w:t>V ist als Lager- und Versandarbeiterin in einem Versandkaufhaus beschäftigt. Arbeitsvertraglich ist sie verpflichtet, die Warensendungen auf der Grundlage der Kundenbestellungen fertig zu stellen. Der Arbeitgeber wirft V vor, ihre Fehlerhäufigkeit liege um ein Mehrfaches über der ihrer mit vergleichbaren Arbeiten beschäftigten Kolleginnen. Ausweislich der elektronischen Fehlerdokumentation habe V in den Jahren 2005 bis 2009 eine Fehlerquote zwischen 4 und 5,5 % verursacht. Die durchschnittliche Fehlerquote der übrigen 209 eingesetzten Mitarbeiter habe demgegenüber nur 1,34 % betragen. Trotz zwei schriftlicher Abmahnungen aus dem Jahr 2007 und 2008 haben die Fehler nicht nachgelassen. Der Arbeitgeber möchte V verhaltensbedingt kündigen. Wie ist die Rechtslage?</w:t>
      </w:r>
    </w:p>
    <w:p w:rsidR="00164F46" w:rsidRPr="00AA3086" w:rsidRDefault="00164F46" w:rsidP="00AA3086">
      <w:pPr>
        <w:ind w:left="2832"/>
        <w:jc w:val="both"/>
        <w:rPr>
          <w:szCs w:val="24"/>
        </w:rPr>
      </w:pPr>
    </w:p>
    <w:p w:rsidR="009E374E" w:rsidRPr="009E374E" w:rsidRDefault="00AA3086" w:rsidP="00AA3086">
      <w:pPr>
        <w:ind w:left="2832"/>
        <w:jc w:val="both"/>
        <w:rPr>
          <w:b/>
          <w:i/>
          <w:szCs w:val="24"/>
        </w:rPr>
      </w:pPr>
      <w:r w:rsidRPr="009E374E">
        <w:rPr>
          <w:b/>
          <w:i/>
          <w:szCs w:val="24"/>
        </w:rPr>
        <w:t xml:space="preserve">BAG NJW 2008, 3019: </w:t>
      </w:r>
    </w:p>
    <w:p w:rsidR="00AA3086" w:rsidRPr="009E374E" w:rsidRDefault="00AA3086" w:rsidP="00AA3086">
      <w:pPr>
        <w:ind w:left="2832"/>
        <w:jc w:val="both"/>
        <w:rPr>
          <w:i/>
          <w:szCs w:val="24"/>
        </w:rPr>
      </w:pPr>
      <w:r w:rsidRPr="009E374E">
        <w:rPr>
          <w:i/>
          <w:szCs w:val="24"/>
        </w:rPr>
        <w:t xml:space="preserve">Eine verhaltensbedingte Kündigung ist gerechtfertigt, wenn der Arbeitnehmer seine arbeitsvertraglichen Pflichten dadurch vorwerfbar verletzt, dass er fehlerhaft arbeitet. Ein Arbeitnehmer genügt – mangels anderer Vereinbarungen – seiner Vertragspflicht, wenn er unter angemessener Ausschöpfung seiner persönlichen Leistungsfähigkeit arbeitet. Er verstößt gegen seine Arbeitspflicht nicht allein dadurch, dass er die durchschnittliche Fehlerhäufigkeit aller Arbeitnehmer überschreitet. Allerdings kann die längerfristige deutliche Überschreitung der durchschnittlichen Fehlerquote je nach </w:t>
      </w:r>
      <w:r w:rsidRPr="009E374E">
        <w:rPr>
          <w:i/>
          <w:szCs w:val="24"/>
        </w:rPr>
        <w:lastRenderedPageBreak/>
        <w:t>tatsächliche Fehlerzahl, Art, Schwere und Folgen der fehlerhaften Arbeitsleistung ein Anhaltspunkt dafür sein, dass der Arbeitnehmer vorwerfbar seine Vertragspflichten verletzt. Voraussetzung hierfür ist aber, dass der Arbeitgeber ein Überprüfungsverfahren darlegt, aus dem sich nachvollziehbar und überprüfbar die Fehlerhäufigkeit ergibt (vgl. ferner LAG Schleswig-Holstein, NZA-RR 2008, 573).</w:t>
      </w:r>
    </w:p>
    <w:p w:rsidR="00AA3086" w:rsidRPr="00AA3086" w:rsidRDefault="00AA3086" w:rsidP="00AA3086">
      <w:pPr>
        <w:ind w:left="2832"/>
        <w:jc w:val="both"/>
        <w:rPr>
          <w:szCs w:val="24"/>
        </w:rPr>
      </w:pPr>
    </w:p>
    <w:p w:rsidR="00AA3086" w:rsidRPr="009E374E" w:rsidRDefault="00AA3086" w:rsidP="009E374E">
      <w:pPr>
        <w:ind w:left="2832"/>
        <w:rPr>
          <w:b/>
        </w:rPr>
      </w:pPr>
      <w:r w:rsidRPr="009E374E">
        <w:rPr>
          <w:b/>
        </w:rPr>
        <w:t>Fall 12</w:t>
      </w:r>
      <w:r w:rsidR="009E374E" w:rsidRPr="009E374E">
        <w:rPr>
          <w:b/>
        </w:rPr>
        <w:t>:</w:t>
      </w:r>
    </w:p>
    <w:p w:rsidR="009E374E" w:rsidRPr="00AA3086" w:rsidRDefault="009E374E" w:rsidP="009E374E">
      <w:pPr>
        <w:ind w:left="2832"/>
      </w:pPr>
    </w:p>
    <w:p w:rsidR="00AA3086" w:rsidRPr="00AA3086" w:rsidRDefault="00AA3086" w:rsidP="00AA3086">
      <w:pPr>
        <w:ind w:left="2832"/>
        <w:jc w:val="both"/>
        <w:rPr>
          <w:szCs w:val="24"/>
        </w:rPr>
      </w:pPr>
      <w:r w:rsidRPr="00AA3086">
        <w:rPr>
          <w:szCs w:val="24"/>
        </w:rPr>
        <w:t>T ist als technischer Mitarbeiter in der Kommunalverwaltung beschäftigt. Sein Büro befindet sich in der zweiten Etage des sog. Technischen Rathauses. Passanten beobachteten mehrmals am Freitagnachmittag, wie sich in einem Fenster in der zweiten Etage eine Person mit einer Perücke und mit einem roten Gewand entblößte und obszöne Äußerungen von sich gab. Die Passanten informierten die Kriminalpolizei, die daraufhin das Technische Rathaus durchsuchte. Im Büro von T wurden in seinem Schreibtisch eine Perücke und ein rotes Gewand gefunden. Auch teilten Kollegen mit, ihn früher schon einmal in einem roten Gewand in seinem Büro zufällig angetroffen zu haben. T streitet alle Vorwürfe ab. Die Stadtverwaltung möchte T fristlos kündigen, obwohl noch unklar ist, ob die Staatsanwaltschaft gegen ihn Anklage erheben wird</w:t>
      </w:r>
      <w:r w:rsidR="009E374E">
        <w:rPr>
          <w:szCs w:val="24"/>
        </w:rPr>
        <w:t>. Wie ist die Rechtslage? (BAGE </w:t>
      </w:r>
      <w:r w:rsidRPr="00AA3086">
        <w:rPr>
          <w:szCs w:val="24"/>
        </w:rPr>
        <w:t>23, 475; BAG NZA 2008, 630)</w:t>
      </w:r>
    </w:p>
    <w:p w:rsidR="00AA3086" w:rsidRPr="00AA3086" w:rsidRDefault="00AA3086" w:rsidP="00AA3086">
      <w:pPr>
        <w:ind w:left="2832"/>
        <w:jc w:val="both"/>
        <w:rPr>
          <w:szCs w:val="24"/>
        </w:rPr>
      </w:pPr>
    </w:p>
    <w:p w:rsidR="009E374E" w:rsidRPr="009E374E" w:rsidRDefault="00AA3086" w:rsidP="00AA3086">
      <w:pPr>
        <w:ind w:left="2832"/>
        <w:jc w:val="both"/>
        <w:rPr>
          <w:b/>
          <w:i/>
          <w:szCs w:val="24"/>
        </w:rPr>
      </w:pPr>
      <w:r w:rsidRPr="009E374E">
        <w:rPr>
          <w:b/>
          <w:i/>
          <w:szCs w:val="24"/>
        </w:rPr>
        <w:t xml:space="preserve">BAG NZA 1995, 269: </w:t>
      </w:r>
    </w:p>
    <w:p w:rsidR="00AA3086" w:rsidRPr="009E374E" w:rsidRDefault="00AA3086" w:rsidP="00AA3086">
      <w:pPr>
        <w:ind w:left="2832"/>
        <w:jc w:val="both"/>
        <w:rPr>
          <w:i/>
          <w:szCs w:val="24"/>
        </w:rPr>
      </w:pPr>
      <w:r w:rsidRPr="009E374E">
        <w:rPr>
          <w:i/>
          <w:szCs w:val="24"/>
        </w:rPr>
        <w:t xml:space="preserve">Auch wenn eine schwere Pflichtverletzung oder gar eine Straftat noch nicht erwiesen ist aber objektiv der dringende, durch bestimmte Tatsachen begründete Verdacht einer solchen vorliegt, kann eine außerordentliche Kündigung auch als Verdachtskündigung gerechtfertigt sein. Dies gilt insbesondere dann, wenn bereits der bestehende Verdacht das Vertrauen in den Arbeitnehmer unwiederbringlich zerstört. </w:t>
      </w:r>
    </w:p>
    <w:p w:rsidR="00AA3086" w:rsidRPr="00AA3086" w:rsidRDefault="00AA3086" w:rsidP="00AA3086">
      <w:pPr>
        <w:ind w:left="2832"/>
        <w:jc w:val="both"/>
        <w:rPr>
          <w:szCs w:val="24"/>
        </w:rPr>
      </w:pPr>
    </w:p>
    <w:p w:rsidR="00AA3086" w:rsidRPr="009E374E" w:rsidRDefault="00AA3086" w:rsidP="009E374E">
      <w:pPr>
        <w:ind w:left="2832"/>
        <w:rPr>
          <w:b/>
        </w:rPr>
      </w:pPr>
      <w:r w:rsidRPr="009E374E">
        <w:rPr>
          <w:b/>
        </w:rPr>
        <w:t>Fall 13</w:t>
      </w:r>
      <w:r w:rsidR="009E374E" w:rsidRPr="009E374E">
        <w:rPr>
          <w:b/>
        </w:rPr>
        <w:t>:</w:t>
      </w:r>
    </w:p>
    <w:p w:rsidR="009E374E" w:rsidRPr="00AA3086" w:rsidRDefault="009E374E" w:rsidP="009E374E">
      <w:pPr>
        <w:ind w:left="2832"/>
      </w:pPr>
    </w:p>
    <w:p w:rsidR="00AA3086" w:rsidRPr="00AA3086" w:rsidRDefault="00AA3086" w:rsidP="00AA3086">
      <w:pPr>
        <w:ind w:left="2832"/>
        <w:jc w:val="both"/>
        <w:rPr>
          <w:szCs w:val="24"/>
        </w:rPr>
      </w:pPr>
      <w:r w:rsidRPr="00AA3086">
        <w:rPr>
          <w:szCs w:val="24"/>
        </w:rPr>
        <w:t>G ist als Gebäudereiniger bei</w:t>
      </w:r>
      <w:r w:rsidR="009E374E">
        <w:rPr>
          <w:szCs w:val="24"/>
        </w:rPr>
        <w:t xml:space="preserve"> der V-GmbH beschäftigt. Am 21. </w:t>
      </w:r>
      <w:r w:rsidRPr="00AA3086">
        <w:rPr>
          <w:szCs w:val="24"/>
        </w:rPr>
        <w:t>August 20</w:t>
      </w:r>
      <w:r w:rsidR="007A31BD">
        <w:rPr>
          <w:szCs w:val="24"/>
        </w:rPr>
        <w:t>1</w:t>
      </w:r>
      <w:r w:rsidRPr="00AA3086">
        <w:rPr>
          <w:szCs w:val="24"/>
        </w:rPr>
        <w:t>9 wird er zu einem Personalgespräch gerufen, in dem ihm Betrug vorgeworfen wird, weil er in den letzten drei Jahren viel zu hohe Stunden abgerechnet und bezahlt bekommen habe. Der an dem Gespräch teilnehmende Betriebsratsvorsitzende schlägt den Beteiligten einen Aufhebungsvertrag vor. Ein solcher wurde daraufhin zwischen G und der V-GmbH schriftlich vereinbart, wonach das Arbeitsve</w:t>
      </w:r>
      <w:r w:rsidR="009E374E">
        <w:rPr>
          <w:szCs w:val="24"/>
        </w:rPr>
        <w:t>rhältnis einvernehmlich zum 30. </w:t>
      </w:r>
      <w:r w:rsidRPr="00AA3086">
        <w:rPr>
          <w:szCs w:val="24"/>
        </w:rPr>
        <w:t>November 20</w:t>
      </w:r>
      <w:r w:rsidR="00435FB7">
        <w:rPr>
          <w:szCs w:val="24"/>
        </w:rPr>
        <w:t>1</w:t>
      </w:r>
      <w:r w:rsidRPr="00AA3086">
        <w:rPr>
          <w:szCs w:val="24"/>
        </w:rPr>
        <w:t>9 aufgehoben werden soll und G bis zu diesem Zeitpunkt noch bezahlt wird. Nachdem G nach Hause kommt, fühlt es sich durch den Abschluss des Aufhebungsvertrages überrumpelt und möchte diesen wegen Täusch</w:t>
      </w:r>
      <w:r w:rsidR="00D71424">
        <w:rPr>
          <w:szCs w:val="24"/>
        </w:rPr>
        <w:t>ung und Drohung nach § 123 Abs. </w:t>
      </w:r>
      <w:r w:rsidRPr="00AA3086">
        <w:rPr>
          <w:szCs w:val="24"/>
        </w:rPr>
        <w:t xml:space="preserve">1 BGB anfechten. Wie ist die Rechtslage? </w:t>
      </w:r>
    </w:p>
    <w:p w:rsidR="009E374E" w:rsidRPr="009E374E" w:rsidRDefault="00AA3086" w:rsidP="009E374E">
      <w:pPr>
        <w:pStyle w:val="Textkrper2"/>
        <w:spacing w:after="0" w:line="240" w:lineRule="auto"/>
        <w:ind w:left="2829"/>
        <w:jc w:val="both"/>
        <w:rPr>
          <w:b/>
          <w:i/>
          <w:szCs w:val="24"/>
        </w:rPr>
      </w:pPr>
      <w:r w:rsidRPr="009E374E">
        <w:rPr>
          <w:b/>
          <w:i/>
          <w:szCs w:val="24"/>
        </w:rPr>
        <w:lastRenderedPageBreak/>
        <w:t xml:space="preserve">BAG NZA 2003, S. 1055: </w:t>
      </w:r>
    </w:p>
    <w:p w:rsidR="00AA3086" w:rsidRPr="009E374E" w:rsidRDefault="00AA3086" w:rsidP="009E374E">
      <w:pPr>
        <w:pStyle w:val="Textkrper2"/>
        <w:spacing w:after="0" w:line="240" w:lineRule="auto"/>
        <w:ind w:left="2829"/>
        <w:jc w:val="both"/>
        <w:rPr>
          <w:i/>
          <w:szCs w:val="24"/>
        </w:rPr>
      </w:pPr>
      <w:r w:rsidRPr="009E374E">
        <w:rPr>
          <w:i/>
          <w:szCs w:val="24"/>
        </w:rPr>
        <w:t xml:space="preserve">In der Ankündigung einer Kündigung seitens des Arbeitgebers kann eine Drohung liegen. Sie ist dann widerrechtlich im Sinne von § 123 Abs. 1 BGB, wenn ein verständiger Arbeitgeber sie nicht ernsthaft in Erwägung </w:t>
      </w:r>
      <w:r w:rsidR="009E374E">
        <w:rPr>
          <w:i/>
          <w:szCs w:val="24"/>
        </w:rPr>
        <w:t xml:space="preserve">ziehen durfte (vgl. ferner </w:t>
      </w:r>
      <w:proofErr w:type="spellStart"/>
      <w:r w:rsidR="009E374E">
        <w:rPr>
          <w:i/>
          <w:szCs w:val="24"/>
        </w:rPr>
        <w:t>ArbG</w:t>
      </w:r>
      <w:proofErr w:type="spellEnd"/>
      <w:r w:rsidR="009E374E">
        <w:rPr>
          <w:i/>
          <w:szCs w:val="24"/>
        </w:rPr>
        <w:t> </w:t>
      </w:r>
      <w:r w:rsidRPr="009E374E">
        <w:rPr>
          <w:i/>
          <w:szCs w:val="24"/>
        </w:rPr>
        <w:t>Berlin NZA-RR 2007, 19).</w:t>
      </w:r>
    </w:p>
    <w:p w:rsidR="00AA3086" w:rsidRPr="009E374E" w:rsidRDefault="00AA3086" w:rsidP="009E374E">
      <w:pPr>
        <w:pStyle w:val="Textkrper2"/>
        <w:spacing w:after="0" w:line="240" w:lineRule="auto"/>
        <w:ind w:left="2829"/>
        <w:jc w:val="both"/>
        <w:rPr>
          <w:szCs w:val="24"/>
        </w:rPr>
      </w:pPr>
    </w:p>
    <w:p w:rsidR="00AA3086" w:rsidRPr="009E374E" w:rsidRDefault="00AA3086" w:rsidP="009E374E">
      <w:pPr>
        <w:ind w:left="2832"/>
        <w:rPr>
          <w:b/>
        </w:rPr>
      </w:pPr>
      <w:r w:rsidRPr="009E374E">
        <w:rPr>
          <w:b/>
        </w:rPr>
        <w:t>Fall 14</w:t>
      </w:r>
      <w:r w:rsidR="009E374E" w:rsidRPr="009E374E">
        <w:rPr>
          <w:b/>
        </w:rPr>
        <w:t>:</w:t>
      </w:r>
    </w:p>
    <w:p w:rsidR="009E374E" w:rsidRPr="00AA3086" w:rsidRDefault="009E374E" w:rsidP="009E374E">
      <w:pPr>
        <w:ind w:left="2832"/>
      </w:pPr>
    </w:p>
    <w:p w:rsidR="00AA3086" w:rsidRPr="00AA3086" w:rsidRDefault="00AA3086" w:rsidP="00AA3086">
      <w:pPr>
        <w:ind w:left="2832"/>
        <w:jc w:val="both"/>
        <w:rPr>
          <w:szCs w:val="24"/>
        </w:rPr>
      </w:pPr>
      <w:r w:rsidRPr="00AA3086">
        <w:rPr>
          <w:szCs w:val="24"/>
        </w:rPr>
        <w:t>B ist seit 1992 als Busfahrer bei einem öffentlichen Verkehrsunternehmen beschäftigt. In den letzten Jahren war er häufig erkrankt, so im Jahr 2007 an 114 Tagen, 2008 an 127 Tagen, 2009 an 119 Tagen, 2010 an 67 Tagen, 2011 an 80 Tagen und 2012 an 104 Tagen. Der Arbeitgeber möchte B</w:t>
      </w:r>
      <w:r w:rsidR="007A31BD">
        <w:rPr>
          <w:szCs w:val="24"/>
        </w:rPr>
        <w:t xml:space="preserve"> im Jahr 2013</w:t>
      </w:r>
      <w:r w:rsidRPr="00AA3086">
        <w:rPr>
          <w:szCs w:val="24"/>
        </w:rPr>
        <w:t xml:space="preserve"> aus personenbedingten Gründen kündigen. Wie ist die Rechtslage?</w:t>
      </w:r>
    </w:p>
    <w:p w:rsidR="00AA3086" w:rsidRPr="00AA3086" w:rsidRDefault="00AA3086" w:rsidP="00AA3086">
      <w:pPr>
        <w:ind w:left="2832"/>
        <w:jc w:val="both"/>
        <w:rPr>
          <w:szCs w:val="24"/>
        </w:rPr>
      </w:pPr>
    </w:p>
    <w:p w:rsidR="009E374E" w:rsidRPr="009E374E" w:rsidRDefault="00AA3086" w:rsidP="00AA3086">
      <w:pPr>
        <w:ind w:left="2832"/>
        <w:jc w:val="both"/>
        <w:rPr>
          <w:b/>
          <w:i/>
          <w:szCs w:val="24"/>
        </w:rPr>
      </w:pPr>
      <w:r w:rsidRPr="009E374E">
        <w:rPr>
          <w:b/>
          <w:i/>
          <w:szCs w:val="24"/>
        </w:rPr>
        <w:t xml:space="preserve">BAG NZA-RR 2008, 515: </w:t>
      </w:r>
    </w:p>
    <w:p w:rsidR="00AA3086" w:rsidRPr="009E374E" w:rsidRDefault="00AA3086" w:rsidP="00AA3086">
      <w:pPr>
        <w:ind w:left="2832"/>
        <w:jc w:val="both"/>
        <w:rPr>
          <w:i/>
          <w:szCs w:val="24"/>
        </w:rPr>
      </w:pPr>
      <w:r w:rsidRPr="009E374E">
        <w:rPr>
          <w:i/>
          <w:szCs w:val="24"/>
        </w:rPr>
        <w:t>Eine Kündigung wegen häufiger Kurzerkrankungen erfordert zunächst – 1. Stufe – eine negative Gesundheitsprognose. Die prognostizierten Fehlzeiten sind nur dann geeignet, eine krankheitsbedingte Kündigung sozial zu rechtfertigen, wenn sie auch zu einer erheblichen Beeinträchtigung der betrieblichen Interessen führen, was als Teil des Kündigungsgrundes – 2. Stufe – festzustellen ist. Dabei können neben Betriebsablaufstörungen auch wirtschaftliche Belastungen, etwa durch zu erwartende, einen Zeitraum von mehr als sechs Wochen pro Jahr übersteigende Entgeltfortzahlungskosten, zu einer derartigen Beeinträchtigung betrieblicher Interessen führen. Liegt eine erhebliche Beeinträchtigung der betrieblichen Interessen vor, so ist in einem dritten Prüfungsschr</w:t>
      </w:r>
      <w:r w:rsidR="009E374E">
        <w:rPr>
          <w:i/>
          <w:szCs w:val="24"/>
        </w:rPr>
        <w:t>itt im Rahmen der nach § 1 Abs. </w:t>
      </w:r>
      <w:r w:rsidRPr="009E374E">
        <w:rPr>
          <w:i/>
          <w:szCs w:val="24"/>
        </w:rPr>
        <w:t>2 KSchG gebotenen Interessenabwägung zu prüfen, ob diese Beeinträchtigungen vom Arbeitgeber billigerweise nicht mehr hingenommen werden müssen (</w:t>
      </w:r>
      <w:r w:rsidR="009E374E">
        <w:rPr>
          <w:i/>
          <w:szCs w:val="24"/>
        </w:rPr>
        <w:t xml:space="preserve">vgl. auch BAGE 93, 255; BAGE 116, </w:t>
      </w:r>
      <w:r w:rsidRPr="009E374E">
        <w:rPr>
          <w:i/>
          <w:szCs w:val="24"/>
        </w:rPr>
        <w:t>121).</w:t>
      </w:r>
    </w:p>
    <w:p w:rsidR="00AA3086" w:rsidRDefault="00AA3086" w:rsidP="00AA3086">
      <w:pPr>
        <w:ind w:left="2832"/>
        <w:jc w:val="both"/>
        <w:rPr>
          <w:szCs w:val="24"/>
        </w:rPr>
      </w:pPr>
    </w:p>
    <w:p w:rsidR="00AA3086" w:rsidRPr="009E374E" w:rsidRDefault="00AA3086" w:rsidP="009E374E">
      <w:pPr>
        <w:ind w:left="2832"/>
        <w:rPr>
          <w:b/>
        </w:rPr>
      </w:pPr>
      <w:r w:rsidRPr="009E374E">
        <w:rPr>
          <w:b/>
        </w:rPr>
        <w:t>Fall 15</w:t>
      </w:r>
      <w:r w:rsidR="009E374E" w:rsidRPr="009E374E">
        <w:rPr>
          <w:b/>
        </w:rPr>
        <w:t>:</w:t>
      </w:r>
    </w:p>
    <w:p w:rsidR="009E374E" w:rsidRPr="00AA3086" w:rsidRDefault="009E374E" w:rsidP="009E374E">
      <w:pPr>
        <w:ind w:left="2832"/>
      </w:pPr>
    </w:p>
    <w:p w:rsidR="00AA3086" w:rsidRPr="00AA3086" w:rsidRDefault="00AA3086" w:rsidP="00AA3086">
      <w:pPr>
        <w:ind w:left="2832"/>
        <w:jc w:val="both"/>
        <w:rPr>
          <w:szCs w:val="24"/>
        </w:rPr>
      </w:pPr>
      <w:r w:rsidRPr="00AA3086">
        <w:rPr>
          <w:szCs w:val="24"/>
        </w:rPr>
        <w:t>Der A ist seit 17 Jahren bei einer Großwäscherei als Lkw-Fahrer beschäftigt. Er ist zu 50 % schwerbehindert und hat in den letzten vier Jahren regelmäßig 40 bis 50 Tage im Jahr gefehlt. Der Arbeitgeber kündigt dem A personenbedingt wegen der Fehlzeiten. Vor Ausspruch der Kündigung hat der Arbeitgeber kein betriebliches Einglied</w:t>
      </w:r>
      <w:r w:rsidR="00326110">
        <w:rPr>
          <w:szCs w:val="24"/>
        </w:rPr>
        <w:t>erungsmanagement (BEM) nach § 167</w:t>
      </w:r>
      <w:r w:rsidRPr="00AA3086">
        <w:rPr>
          <w:szCs w:val="24"/>
        </w:rPr>
        <w:t xml:space="preserve"> Abs. 2 SGB IX durchgeführt. Wie ist die Rechtslage?</w:t>
      </w:r>
    </w:p>
    <w:p w:rsidR="00AA3086" w:rsidRPr="00AA3086" w:rsidRDefault="00AA3086" w:rsidP="00AA3086">
      <w:pPr>
        <w:ind w:left="2832"/>
        <w:jc w:val="both"/>
        <w:rPr>
          <w:szCs w:val="24"/>
        </w:rPr>
      </w:pPr>
    </w:p>
    <w:p w:rsidR="009E374E" w:rsidRPr="009E374E" w:rsidRDefault="00AA3086" w:rsidP="00AA3086">
      <w:pPr>
        <w:ind w:left="2832"/>
        <w:jc w:val="both"/>
        <w:rPr>
          <w:b/>
          <w:i/>
          <w:szCs w:val="24"/>
        </w:rPr>
      </w:pPr>
      <w:r w:rsidRPr="009E374E">
        <w:rPr>
          <w:b/>
          <w:i/>
          <w:szCs w:val="24"/>
        </w:rPr>
        <w:t xml:space="preserve">Urteil BAG vom 10.12.2009 – 2 AZR 400/08: </w:t>
      </w:r>
    </w:p>
    <w:p w:rsidR="00AA3086" w:rsidRPr="009E374E" w:rsidRDefault="00AA3086" w:rsidP="00AA3086">
      <w:pPr>
        <w:ind w:left="2832"/>
        <w:jc w:val="both"/>
        <w:rPr>
          <w:i/>
          <w:szCs w:val="24"/>
        </w:rPr>
      </w:pPr>
      <w:r w:rsidRPr="009E374E">
        <w:rPr>
          <w:i/>
          <w:szCs w:val="24"/>
        </w:rPr>
        <w:t xml:space="preserve">Hat der Arbeitgeber vor Ausspruch der Kündigung kein BEM durchgeführt, hat er von sich aus darzulegen, weshalb denkbare oder vom Arbeitnehmer aufgezeigte Alternativen zu den bestehenden Beschäftigungsbedingungen mit der Aussicht auf </w:t>
      </w:r>
      <w:r w:rsidRPr="009E374E">
        <w:rPr>
          <w:i/>
          <w:szCs w:val="24"/>
        </w:rPr>
        <w:lastRenderedPageBreak/>
        <w:t xml:space="preserve">eine Reduzierung der Ausfallzeiten nicht in Betracht kommen. Das Gleiche gilt, wenn ein Verfahren durchgeführt wurde, das nicht den gesetzlichen Mindestanforderungen an die BEM genügt. </w:t>
      </w:r>
    </w:p>
    <w:p w:rsidR="00AA3086" w:rsidRPr="009E374E" w:rsidRDefault="00AA3086" w:rsidP="00AA3086">
      <w:pPr>
        <w:ind w:left="2832"/>
        <w:jc w:val="both"/>
        <w:rPr>
          <w:i/>
          <w:szCs w:val="24"/>
        </w:rPr>
      </w:pPr>
    </w:p>
    <w:p w:rsidR="00AA3086" w:rsidRPr="009E374E" w:rsidRDefault="00AA3086" w:rsidP="00AA3086">
      <w:pPr>
        <w:ind w:left="2832"/>
        <w:jc w:val="both"/>
        <w:rPr>
          <w:i/>
          <w:szCs w:val="24"/>
        </w:rPr>
      </w:pPr>
      <w:r w:rsidRPr="009E374E">
        <w:rPr>
          <w:i/>
          <w:szCs w:val="24"/>
        </w:rPr>
        <w:t>Hat das ordnungsgemäß durchgeführ</w:t>
      </w:r>
      <w:r w:rsidR="00326110">
        <w:rPr>
          <w:i/>
          <w:szCs w:val="24"/>
        </w:rPr>
        <w:t>te BEM nach § 167</w:t>
      </w:r>
      <w:r w:rsidRPr="009E374E">
        <w:rPr>
          <w:i/>
          <w:szCs w:val="24"/>
        </w:rPr>
        <w:t xml:space="preserve"> Abs. 2 SGB IX zu einem negativen Ergebnis geführt, genügt der Arbeitgeber seiner Darlegungslast, wenn er auf diesen Umstand hinweist und vorträgt, es bestünden keine anderen Beschäftigungsmöglichkeiten. Es ist Sache des Arbeitnehmers im Einzelnen darzutun, dass es entgegen dem Ergebnis des BEM weitere Alternativen gebe, die entweder dort trotz ihrer Erwähnung nicht behandelt worden seien oder sich erst nach dessen Abschluss ergeben hätten. </w:t>
      </w:r>
    </w:p>
    <w:p w:rsidR="00AA3086" w:rsidRPr="009E374E" w:rsidRDefault="00AA3086" w:rsidP="00AA3086">
      <w:pPr>
        <w:ind w:left="2832"/>
        <w:jc w:val="both"/>
        <w:rPr>
          <w:i/>
          <w:szCs w:val="24"/>
        </w:rPr>
      </w:pPr>
    </w:p>
    <w:p w:rsidR="00AA3086" w:rsidRDefault="00AA3086" w:rsidP="00AA3086">
      <w:pPr>
        <w:ind w:left="2832"/>
        <w:jc w:val="both"/>
        <w:rPr>
          <w:i/>
          <w:szCs w:val="24"/>
        </w:rPr>
      </w:pPr>
      <w:r w:rsidRPr="009E374E">
        <w:rPr>
          <w:i/>
          <w:szCs w:val="24"/>
        </w:rPr>
        <w:t xml:space="preserve">Hat ein BEM stattgefunden und zu einem positiven Ergebnis geführt, ist der Arbeitgeber grundsätzlich verpflichtet, die betreffende Empfehlung umzusetzen. Kündigt er das Arbeitsverhältnis, ohne dies zumindest versucht zu haben, muss er von sich aus darlegen, warum die Maßnahme entweder undurchführbar war oder selbst bei einer Umsetzung nicht zu einer Reduzierung der Ausfallzeiten geführt hätte. </w:t>
      </w:r>
    </w:p>
    <w:p w:rsidR="00565156" w:rsidRPr="009E374E" w:rsidRDefault="00565156" w:rsidP="00AA3086">
      <w:pPr>
        <w:ind w:left="2832"/>
        <w:jc w:val="both"/>
        <w:rPr>
          <w:i/>
          <w:szCs w:val="24"/>
        </w:rPr>
      </w:pPr>
    </w:p>
    <w:p w:rsidR="00AA3086" w:rsidRPr="009E374E" w:rsidRDefault="00AA3086" w:rsidP="00AA3086">
      <w:pPr>
        <w:ind w:left="2832"/>
        <w:jc w:val="both"/>
        <w:rPr>
          <w:i/>
          <w:szCs w:val="24"/>
        </w:rPr>
      </w:pPr>
      <w:r w:rsidRPr="009E374E">
        <w:rPr>
          <w:i/>
          <w:szCs w:val="24"/>
        </w:rPr>
        <w:t xml:space="preserve">Bedarf es zur Umsetzung der Empfehlung einer Einwilligung oder Initiative des Arbeitnehmers, kann der Arbeitgeber dafür eine angemessene Frist setzen. Bei ergebnislosem Fristablauf ist eine Kündigung nicht wegen Missachtung der Empfehlung unverhältnismäßig, wenn der Arbeitgeber die Kündigung für diesen Fall angedroht hat. </w:t>
      </w:r>
    </w:p>
    <w:p w:rsidR="00AA3086" w:rsidRPr="00AA3086" w:rsidRDefault="00AA3086" w:rsidP="00AA3086">
      <w:pPr>
        <w:ind w:left="2832"/>
        <w:jc w:val="both"/>
        <w:rPr>
          <w:szCs w:val="24"/>
        </w:rPr>
      </w:pPr>
    </w:p>
    <w:p w:rsidR="00AA3086" w:rsidRPr="00AA3086" w:rsidRDefault="00AA3086" w:rsidP="00AA3086">
      <w:pPr>
        <w:ind w:left="2832"/>
        <w:jc w:val="both"/>
        <w:rPr>
          <w:b/>
          <w:szCs w:val="24"/>
        </w:rPr>
      </w:pPr>
      <w:r w:rsidRPr="00AA3086">
        <w:rPr>
          <w:b/>
          <w:szCs w:val="24"/>
        </w:rPr>
        <w:t>Fall 1</w:t>
      </w:r>
      <w:r w:rsidR="00565156">
        <w:rPr>
          <w:b/>
          <w:szCs w:val="24"/>
        </w:rPr>
        <w:t>6</w:t>
      </w:r>
      <w:r w:rsidR="009E374E">
        <w:rPr>
          <w:b/>
          <w:szCs w:val="24"/>
        </w:rPr>
        <w:t>:</w:t>
      </w:r>
    </w:p>
    <w:p w:rsidR="009E374E" w:rsidRDefault="009E374E" w:rsidP="00AA3086">
      <w:pPr>
        <w:ind w:left="2832"/>
        <w:jc w:val="both"/>
        <w:rPr>
          <w:szCs w:val="24"/>
        </w:rPr>
      </w:pPr>
    </w:p>
    <w:p w:rsidR="00AA3086" w:rsidRPr="00B93C26" w:rsidRDefault="00AA3086" w:rsidP="00AA3086">
      <w:pPr>
        <w:ind w:left="2832"/>
        <w:jc w:val="both"/>
        <w:rPr>
          <w:szCs w:val="24"/>
        </w:rPr>
      </w:pPr>
      <w:r w:rsidRPr="00AA3086">
        <w:rPr>
          <w:szCs w:val="24"/>
        </w:rPr>
        <w:t xml:space="preserve">V arbeitet als Verkäuferin in einem Supermarkt. Sie entwendet heimlich Zigaretten und wird daraufhin vom Arbeitgeber ordentlich gekündigt. Der Diebstahl ist auf einer mit Zustimmung des Betriebsrates zustande gekommenen Videoaufnahme dokumentiert. Dabei hatte ein vom Arbeitgeber beauftragtes Überwachungsunternehmen eine Verdeckte Videokamera in den Verkaufsräumen der Filiale installiert. V wehrt sich gegen die Verwertung der Videoaufzeichnung zum Beweis ihres Verhaltens. Die Aufnahmen verstoßen gegen ihr allgemeines Persönlichkeitsrecht aus Art. 2 Abs. 1, Art. 1 Abs. </w:t>
      </w:r>
      <w:r w:rsidR="008C7C0E">
        <w:rPr>
          <w:szCs w:val="24"/>
        </w:rPr>
        <w:t xml:space="preserve">1 GG. Zudem sei das </w:t>
      </w:r>
      <w:r w:rsidRPr="00AA3086">
        <w:rPr>
          <w:szCs w:val="24"/>
        </w:rPr>
        <w:t xml:space="preserve">BDSG verletzt, da der Umstand </w:t>
      </w:r>
      <w:r w:rsidRPr="00B93C26">
        <w:rPr>
          <w:szCs w:val="24"/>
        </w:rPr>
        <w:t xml:space="preserve">der Beobachtung und die verantwortliche Stelle durch geeignete Maßnahmen nicht erkennbar gemacht wurden. </w:t>
      </w:r>
    </w:p>
    <w:p w:rsidR="00AA3086" w:rsidRPr="00B93C26" w:rsidRDefault="00AA3086" w:rsidP="00AA3086">
      <w:pPr>
        <w:ind w:left="2832"/>
        <w:jc w:val="both"/>
        <w:rPr>
          <w:szCs w:val="24"/>
        </w:rPr>
      </w:pPr>
    </w:p>
    <w:p w:rsidR="009E374E" w:rsidRPr="00B93C26" w:rsidRDefault="00AA3086" w:rsidP="00AA3086">
      <w:pPr>
        <w:ind w:left="2832"/>
        <w:jc w:val="both"/>
        <w:rPr>
          <w:b/>
          <w:i/>
          <w:szCs w:val="24"/>
        </w:rPr>
      </w:pPr>
      <w:r w:rsidRPr="00B93C26">
        <w:rPr>
          <w:b/>
          <w:i/>
          <w:szCs w:val="24"/>
        </w:rPr>
        <w:t xml:space="preserve">BAG Beck-RS 2012, 70502: </w:t>
      </w:r>
    </w:p>
    <w:p w:rsidR="00AA3086" w:rsidRPr="00B93C26" w:rsidRDefault="00AA3086" w:rsidP="00AA3086">
      <w:pPr>
        <w:ind w:left="2832"/>
        <w:jc w:val="both"/>
        <w:rPr>
          <w:i/>
          <w:szCs w:val="24"/>
        </w:rPr>
      </w:pPr>
      <w:r w:rsidRPr="00B93C26">
        <w:rPr>
          <w:i/>
          <w:szCs w:val="24"/>
        </w:rPr>
        <w:t xml:space="preserve">Im Hinblick auf die berechtigten Interessen des Arbeitgebers </w:t>
      </w:r>
      <w:r w:rsidR="008C7C0E">
        <w:rPr>
          <w:i/>
          <w:szCs w:val="24"/>
        </w:rPr>
        <w:t>ist davon auszugehen, dass das</w:t>
      </w:r>
      <w:r w:rsidRPr="00B93C26">
        <w:rPr>
          <w:i/>
          <w:szCs w:val="24"/>
        </w:rPr>
        <w:t xml:space="preserve"> BDSG verfassungskonform dahingehend auszulegen ist, </w:t>
      </w:r>
      <w:proofErr w:type="gramStart"/>
      <w:r w:rsidRPr="00B93C26">
        <w:rPr>
          <w:i/>
          <w:szCs w:val="24"/>
        </w:rPr>
        <w:t>dass</w:t>
      </w:r>
      <w:proofErr w:type="gramEnd"/>
      <w:r w:rsidRPr="00B93C26">
        <w:rPr>
          <w:i/>
          <w:szCs w:val="24"/>
        </w:rPr>
        <w:t xml:space="preserve"> auch eine verdeckte Videoüberwachung in öffentlich zugänglichen Räumen im </w:t>
      </w:r>
      <w:r w:rsidRPr="00B93C26">
        <w:rPr>
          <w:i/>
          <w:szCs w:val="24"/>
        </w:rPr>
        <w:lastRenderedPageBreak/>
        <w:t xml:space="preserve">Einzelfalls zulässig sein kann. Die im Einzelfall vorgenommene heimliche Videoüberwachung erfordert eine allgemeine Güterabwägung anhand der betroffenen Interessen des Arbeitgebers und des Arbeitnehmers. Aus dem BDSG ergibt sich kein grundsätzliches Beweisverwertungsverbot. </w:t>
      </w:r>
    </w:p>
    <w:p w:rsidR="00AA3086" w:rsidRPr="00B93C26" w:rsidRDefault="00AA3086" w:rsidP="00AA3086">
      <w:pPr>
        <w:ind w:left="2832"/>
        <w:jc w:val="both"/>
        <w:rPr>
          <w:szCs w:val="24"/>
        </w:rPr>
      </w:pPr>
    </w:p>
    <w:p w:rsidR="00AA3086" w:rsidRPr="00B93C26" w:rsidRDefault="00AA3086" w:rsidP="00AA3086">
      <w:pPr>
        <w:ind w:left="2832"/>
        <w:jc w:val="both"/>
        <w:rPr>
          <w:b/>
          <w:szCs w:val="24"/>
        </w:rPr>
      </w:pPr>
      <w:r w:rsidRPr="00B93C26">
        <w:rPr>
          <w:b/>
          <w:szCs w:val="24"/>
        </w:rPr>
        <w:t>Fall 1</w:t>
      </w:r>
      <w:r w:rsidR="00565156" w:rsidRPr="00B93C26">
        <w:rPr>
          <w:b/>
          <w:szCs w:val="24"/>
        </w:rPr>
        <w:t>7</w:t>
      </w:r>
      <w:r w:rsidR="009E374E" w:rsidRPr="00B93C26">
        <w:rPr>
          <w:b/>
          <w:szCs w:val="24"/>
        </w:rPr>
        <w:t>:</w:t>
      </w:r>
    </w:p>
    <w:p w:rsidR="009770EA" w:rsidRPr="00B93C26" w:rsidRDefault="009770EA" w:rsidP="009770EA">
      <w:pPr>
        <w:ind w:left="2832"/>
        <w:jc w:val="both"/>
        <w:rPr>
          <w:szCs w:val="24"/>
        </w:rPr>
      </w:pPr>
    </w:p>
    <w:p w:rsidR="009770EA" w:rsidRPr="00B93C26" w:rsidRDefault="009770EA" w:rsidP="009770EA">
      <w:pPr>
        <w:ind w:left="2832"/>
        <w:jc w:val="both"/>
        <w:rPr>
          <w:szCs w:val="24"/>
        </w:rPr>
      </w:pPr>
      <w:r w:rsidRPr="00B93C26">
        <w:rPr>
          <w:szCs w:val="24"/>
        </w:rPr>
        <w:t>A ist bei der beklagten Bank in Köln beschäftigt. Seit 2008 gehörten arbeitsvertraglich zu seinen Aufgaben neben der EDV-Organisation, die Administration bankinterner Netzwerke, die Revision des gesamten Bankgeschäfts einschließlich der Kreditrevision und des Datenschutzes. Im Oktober 2010 druckte A unter Benutzung seiner Administratorenrechte Anhänge zu einer an das Vorstandsmitglied Frau K. gerichteten E-Mail aus. A wurde hierbei von einem anderen Vorstandsmitglied beobachtet. Daraufhin veranlasste der Vorstand der beklagten Bank das Rechenzentrum mit der Prüfung, von welchem Nutzer des bankinternen Netzwerkes wann und wie oft auf die Datenbanken des Vorstandes zugegriffen worden war. Das Rechenzentrum überprüft daraufhin den vorausgegangenen Zeitraum von zwei Wochen. Dabei wurden 13 in einer Tabelle aufgelistete Zugriffe von A auf Datenbestände des Vorstandes festgestellt. Die beklagte Bank kündigte daraufhin das Arbeitsverhältnis fristlos, hilfsweise fristgemäß.</w:t>
      </w:r>
    </w:p>
    <w:p w:rsidR="009770EA" w:rsidRPr="00B93C26" w:rsidRDefault="009770EA" w:rsidP="009770EA">
      <w:pPr>
        <w:ind w:left="2832"/>
        <w:jc w:val="both"/>
        <w:rPr>
          <w:szCs w:val="24"/>
        </w:rPr>
      </w:pPr>
    </w:p>
    <w:p w:rsidR="009770EA" w:rsidRPr="00B93C26" w:rsidRDefault="009770EA" w:rsidP="009770EA">
      <w:pPr>
        <w:ind w:left="2832"/>
        <w:jc w:val="both"/>
        <w:rPr>
          <w:b/>
          <w:i/>
          <w:szCs w:val="24"/>
        </w:rPr>
      </w:pPr>
      <w:r w:rsidRPr="00B93C26">
        <w:rPr>
          <w:b/>
          <w:i/>
          <w:szCs w:val="24"/>
        </w:rPr>
        <w:t>LAG Köln vom 14.5.2010 – 4 Sa 1257/09 in NZA-RR 2010, 579:</w:t>
      </w:r>
    </w:p>
    <w:p w:rsidR="009770EA" w:rsidRPr="00B93C26" w:rsidRDefault="009770EA" w:rsidP="009770EA">
      <w:pPr>
        <w:ind w:left="2832"/>
        <w:jc w:val="both"/>
        <w:rPr>
          <w:i/>
          <w:szCs w:val="24"/>
        </w:rPr>
      </w:pPr>
      <w:r w:rsidRPr="00B93C26">
        <w:rPr>
          <w:i/>
          <w:szCs w:val="24"/>
        </w:rPr>
        <w:t xml:space="preserve">Die Kündigung wäre nach § 626 Abs. 1 BGB wirksam, wenn eine schwere Pflichtverletzung von A vorliegt. Die Aufgaben eines System- bzw. EDV-Administrators bestehen darin, bei technischen Erfordernissen alle Konfigurationen (Einstellungen von Hard- und Software) vorzunehmen. Der Administrator kann löschen und Löschungen wiederherstellen sowie Datenbanken warten. Er hat deshalb die technische Möglichkeit, auf alle Datenbestände zuzugreifen. Er ist somit technisch auch in der Lage, auf ein- und ausgehende elektronische Post (E-Mails) zuzugreifen. Er darf diese Möglichkeit aber nur im Rahmen seiner Aufgaben, d. h. bei Aufgaben, die der Funktion des Computersystems dienen, nutzen, nicht jedoch außerhalb dieser Aufgaben, um Inhalte fremder Datenbestände einzusehen oder zu nutzen. </w:t>
      </w:r>
    </w:p>
    <w:p w:rsidR="009770EA" w:rsidRPr="00B93C26" w:rsidRDefault="009770EA" w:rsidP="009770EA">
      <w:pPr>
        <w:ind w:left="2832"/>
        <w:jc w:val="both"/>
        <w:rPr>
          <w:i/>
          <w:szCs w:val="24"/>
        </w:rPr>
      </w:pPr>
      <w:r w:rsidRPr="00B93C26">
        <w:rPr>
          <w:i/>
          <w:szCs w:val="24"/>
        </w:rPr>
        <w:t xml:space="preserve">In der Rechtsprechung wird einheitlich davon ausgegangen, dass der Missbrauch von Zugangsrechten durch Systemadministratoren regelmäßig eine fristlose Kündigung ohne vorherige Abmahnung rechtfertigt (vgl. auch LAG München, Beck RS 2009, 72353; ferner BAG vom 15.11.1981, 7 AZR 463/79). </w:t>
      </w:r>
    </w:p>
    <w:p w:rsidR="009770EA" w:rsidRDefault="009770EA" w:rsidP="00AA3086">
      <w:pPr>
        <w:ind w:left="2832"/>
        <w:jc w:val="both"/>
        <w:rPr>
          <w:szCs w:val="24"/>
        </w:rPr>
      </w:pPr>
    </w:p>
    <w:p w:rsidR="002A6C4C" w:rsidRDefault="002A6C4C" w:rsidP="00AA3086">
      <w:pPr>
        <w:ind w:left="2832"/>
        <w:jc w:val="both"/>
        <w:rPr>
          <w:szCs w:val="24"/>
        </w:rPr>
      </w:pPr>
    </w:p>
    <w:p w:rsidR="002A6C4C" w:rsidRPr="00B93C26" w:rsidRDefault="002A6C4C" w:rsidP="00AA3086">
      <w:pPr>
        <w:ind w:left="2832"/>
        <w:jc w:val="both"/>
        <w:rPr>
          <w:szCs w:val="24"/>
        </w:rPr>
      </w:pPr>
    </w:p>
    <w:p w:rsidR="009770EA" w:rsidRPr="00B93C26" w:rsidRDefault="009770EA" w:rsidP="00AA3086">
      <w:pPr>
        <w:ind w:left="2832"/>
        <w:jc w:val="both"/>
        <w:rPr>
          <w:b/>
          <w:szCs w:val="24"/>
        </w:rPr>
      </w:pPr>
      <w:r w:rsidRPr="00B93C26">
        <w:rPr>
          <w:b/>
          <w:szCs w:val="24"/>
        </w:rPr>
        <w:lastRenderedPageBreak/>
        <w:t>Fall 18:</w:t>
      </w:r>
    </w:p>
    <w:p w:rsidR="009770EA" w:rsidRPr="00B93C26" w:rsidRDefault="009770EA" w:rsidP="00AA3086">
      <w:pPr>
        <w:ind w:left="2832"/>
        <w:jc w:val="both"/>
        <w:rPr>
          <w:szCs w:val="24"/>
        </w:rPr>
      </w:pPr>
    </w:p>
    <w:p w:rsidR="00AA3086" w:rsidRPr="00B93C26" w:rsidRDefault="00AA3086" w:rsidP="00AA3086">
      <w:pPr>
        <w:ind w:left="2832"/>
        <w:jc w:val="both"/>
        <w:rPr>
          <w:szCs w:val="24"/>
        </w:rPr>
      </w:pPr>
      <w:r w:rsidRPr="00B93C26">
        <w:rPr>
          <w:szCs w:val="24"/>
        </w:rPr>
        <w:t>L ist beim beklagten Land auf Basis eines sachgrundlos befristeten Arbeitsvertrages in der Zeit vom 1. August 20</w:t>
      </w:r>
      <w:r w:rsidR="007A31BD" w:rsidRPr="00B93C26">
        <w:rPr>
          <w:szCs w:val="24"/>
        </w:rPr>
        <w:t>16</w:t>
      </w:r>
      <w:r w:rsidRPr="00B93C26">
        <w:rPr>
          <w:szCs w:val="24"/>
        </w:rPr>
        <w:t xml:space="preserve"> bis 31. Juli 20</w:t>
      </w:r>
      <w:r w:rsidR="007A31BD" w:rsidRPr="00B93C26">
        <w:rPr>
          <w:szCs w:val="24"/>
        </w:rPr>
        <w:t>18</w:t>
      </w:r>
      <w:r w:rsidRPr="00B93C26">
        <w:rPr>
          <w:szCs w:val="24"/>
        </w:rPr>
        <w:t xml:space="preserve"> als Lehrerin beschäftigt. Während ihres Studiums war L schon einmal im Zeitra</w:t>
      </w:r>
      <w:r w:rsidR="009E374E" w:rsidRPr="00B93C26">
        <w:rPr>
          <w:szCs w:val="24"/>
        </w:rPr>
        <w:t>um vom 1. November 20</w:t>
      </w:r>
      <w:r w:rsidR="007A31BD" w:rsidRPr="00B93C26">
        <w:rPr>
          <w:szCs w:val="24"/>
        </w:rPr>
        <w:t>10</w:t>
      </w:r>
      <w:r w:rsidR="009E374E" w:rsidRPr="00B93C26">
        <w:rPr>
          <w:szCs w:val="24"/>
        </w:rPr>
        <w:t xml:space="preserve"> bis 31. </w:t>
      </w:r>
      <w:r w:rsidRPr="00B93C26">
        <w:rPr>
          <w:szCs w:val="24"/>
        </w:rPr>
        <w:t>Januar 20</w:t>
      </w:r>
      <w:r w:rsidR="007A31BD" w:rsidRPr="00B93C26">
        <w:rPr>
          <w:szCs w:val="24"/>
        </w:rPr>
        <w:t>12</w:t>
      </w:r>
      <w:r w:rsidRPr="00B93C26">
        <w:rPr>
          <w:szCs w:val="24"/>
        </w:rPr>
        <w:t xml:space="preserve"> als studentische Hilfskraft für das Land bei einer wissenschaftlichen Studie beschäftigt. Mit ihrer Entfristungsklage nach § 17 </w:t>
      </w:r>
      <w:proofErr w:type="spellStart"/>
      <w:r w:rsidRPr="00B93C26">
        <w:rPr>
          <w:szCs w:val="24"/>
        </w:rPr>
        <w:t>TzBfG</w:t>
      </w:r>
      <w:proofErr w:type="spellEnd"/>
      <w:r w:rsidRPr="00B93C26">
        <w:rPr>
          <w:szCs w:val="24"/>
        </w:rPr>
        <w:t xml:space="preserve"> begehrt sie die Feststellung, dass sie unbefristet beschäftigt sei. Ist die Entfristungsklage erfolgreich?</w:t>
      </w:r>
    </w:p>
    <w:p w:rsidR="00AA3086" w:rsidRPr="00B93C26" w:rsidRDefault="00AA3086" w:rsidP="00AA3086">
      <w:pPr>
        <w:ind w:left="2832"/>
        <w:jc w:val="both"/>
        <w:rPr>
          <w:szCs w:val="24"/>
        </w:rPr>
      </w:pPr>
    </w:p>
    <w:p w:rsidR="009E374E" w:rsidRPr="00B93C26" w:rsidRDefault="00AA3086" w:rsidP="00AA3086">
      <w:pPr>
        <w:ind w:left="2832"/>
        <w:jc w:val="both"/>
        <w:rPr>
          <w:b/>
          <w:i/>
          <w:szCs w:val="24"/>
        </w:rPr>
      </w:pPr>
      <w:r w:rsidRPr="00B93C26">
        <w:rPr>
          <w:b/>
          <w:i/>
          <w:szCs w:val="24"/>
        </w:rPr>
        <w:t xml:space="preserve">BAG Beck-RS 2011, 74789: </w:t>
      </w:r>
    </w:p>
    <w:p w:rsidR="007F7C1C" w:rsidRDefault="00AA3086" w:rsidP="00AA3086">
      <w:pPr>
        <w:ind w:left="2832"/>
        <w:jc w:val="both"/>
        <w:rPr>
          <w:i/>
          <w:szCs w:val="24"/>
        </w:rPr>
      </w:pPr>
      <w:r w:rsidRPr="00B93C26">
        <w:rPr>
          <w:i/>
          <w:szCs w:val="24"/>
        </w:rPr>
        <w:t xml:space="preserve">Nach § 14 Abs. 2 Satz 1 </w:t>
      </w:r>
      <w:proofErr w:type="spellStart"/>
      <w:r w:rsidRPr="00B93C26">
        <w:rPr>
          <w:i/>
          <w:szCs w:val="24"/>
        </w:rPr>
        <w:t>TzBfG</w:t>
      </w:r>
      <w:proofErr w:type="spellEnd"/>
      <w:r w:rsidRPr="00B93C26">
        <w:rPr>
          <w:i/>
          <w:szCs w:val="24"/>
        </w:rPr>
        <w:t xml:space="preserve"> ist die sachgrundlose Befristung eines Arbeitsvertrages bis zur Dauer von zwei Jahren zulässig, wenn nicht mit demselben Arbeitgeber bereits zuvor ein befristetes oder unbefristetes Arbeitsverhältnis bestanden hat. </w:t>
      </w:r>
      <w:r w:rsidR="008C7C0E">
        <w:rPr>
          <w:i/>
          <w:szCs w:val="24"/>
        </w:rPr>
        <w:t>Nach einer mittlerweile aufgegebenen Rechtsprechung des BAG lag eine „Zuvor-Beschäftigung“</w:t>
      </w:r>
      <w:r w:rsidRPr="00B93C26">
        <w:rPr>
          <w:i/>
          <w:szCs w:val="24"/>
        </w:rPr>
        <w:t xml:space="preserve"> nicht</w:t>
      </w:r>
      <w:r w:rsidR="008C7C0E">
        <w:rPr>
          <w:i/>
          <w:szCs w:val="24"/>
        </w:rPr>
        <w:t xml:space="preserve"> mehr</w:t>
      </w:r>
      <w:r w:rsidRPr="00B93C26">
        <w:rPr>
          <w:i/>
          <w:szCs w:val="24"/>
        </w:rPr>
        <w:t xml:space="preserve"> vor, wenn das Arbeitsverhält</w:t>
      </w:r>
      <w:r w:rsidR="008C7C0E">
        <w:rPr>
          <w:i/>
          <w:szCs w:val="24"/>
        </w:rPr>
        <w:t>nis mehr als drei Jahren zurücklag. Dies entsprach</w:t>
      </w:r>
      <w:r w:rsidR="007F7C1C">
        <w:rPr>
          <w:i/>
          <w:szCs w:val="24"/>
        </w:rPr>
        <w:t xml:space="preserve"> nach Auffassung des BAG</w:t>
      </w:r>
      <w:r w:rsidRPr="00B93C26">
        <w:rPr>
          <w:i/>
          <w:szCs w:val="24"/>
        </w:rPr>
        <w:t xml:space="preserve"> der gesetzgeberischen Wertung, die in der regelmäßigen zivilrechtlichen Verjä</w:t>
      </w:r>
      <w:r w:rsidR="007A31BD" w:rsidRPr="00B93C26">
        <w:rPr>
          <w:i/>
          <w:szCs w:val="24"/>
        </w:rPr>
        <w:t>hrungsfrist zum Ausdruck kommt</w:t>
      </w:r>
      <w:r w:rsidR="008C7C0E">
        <w:rPr>
          <w:i/>
          <w:szCs w:val="24"/>
        </w:rPr>
        <w:t xml:space="preserve">. Diese </w:t>
      </w:r>
      <w:r w:rsidR="007A31BD" w:rsidRPr="00B93C26">
        <w:rPr>
          <w:i/>
          <w:szCs w:val="24"/>
        </w:rPr>
        <w:t>Rechtsprechung des BAG wurde vom BVerf</w:t>
      </w:r>
      <w:r w:rsidR="008C7C0E">
        <w:rPr>
          <w:i/>
          <w:szCs w:val="24"/>
        </w:rPr>
        <w:t>G für verfassungswidrig erklärt. Erforderlich ist daher</w:t>
      </w:r>
      <w:r w:rsidR="007A31BD" w:rsidRPr="00B93C26">
        <w:rPr>
          <w:i/>
          <w:szCs w:val="24"/>
        </w:rPr>
        <w:t xml:space="preserve"> nur noch individuelle</w:t>
      </w:r>
      <w:r w:rsidR="007F7C1C">
        <w:rPr>
          <w:i/>
          <w:szCs w:val="24"/>
        </w:rPr>
        <w:t xml:space="preserve"> Überprüfung des Einzelfalls ohne dass </w:t>
      </w:r>
      <w:r w:rsidR="007A31BD" w:rsidRPr="00B93C26">
        <w:rPr>
          <w:i/>
          <w:szCs w:val="24"/>
        </w:rPr>
        <w:t>eine feste 3-Jahres-Frist</w:t>
      </w:r>
      <w:r w:rsidR="007F7C1C">
        <w:rPr>
          <w:i/>
          <w:szCs w:val="24"/>
        </w:rPr>
        <w:t xml:space="preserve"> gilt</w:t>
      </w:r>
      <w:r w:rsidR="007A31BD" w:rsidRPr="00B93C26">
        <w:rPr>
          <w:i/>
          <w:szCs w:val="24"/>
        </w:rPr>
        <w:t xml:space="preserve"> – </w:t>
      </w:r>
      <w:r w:rsidR="008C7C0E">
        <w:rPr>
          <w:i/>
          <w:szCs w:val="24"/>
        </w:rPr>
        <w:t>(</w:t>
      </w:r>
      <w:r w:rsidR="007A31BD" w:rsidRPr="00B93C26">
        <w:rPr>
          <w:i/>
          <w:szCs w:val="24"/>
        </w:rPr>
        <w:t>vgl.</w:t>
      </w:r>
      <w:r w:rsidR="00604738">
        <w:rPr>
          <w:i/>
          <w:szCs w:val="24"/>
        </w:rPr>
        <w:t> </w:t>
      </w:r>
      <w:r w:rsidR="007A31BD" w:rsidRPr="00B93C26">
        <w:rPr>
          <w:i/>
          <w:szCs w:val="24"/>
        </w:rPr>
        <w:t xml:space="preserve">BVerfG vom </w:t>
      </w:r>
      <w:r w:rsidR="008C7C0E">
        <w:rPr>
          <w:i/>
          <w:szCs w:val="24"/>
        </w:rPr>
        <w:t xml:space="preserve">06.06.2018, 1 </w:t>
      </w:r>
      <w:proofErr w:type="spellStart"/>
      <w:r w:rsidR="008C7C0E">
        <w:rPr>
          <w:i/>
          <w:szCs w:val="24"/>
        </w:rPr>
        <w:t>BvL</w:t>
      </w:r>
      <w:proofErr w:type="spellEnd"/>
      <w:r w:rsidR="008C7C0E">
        <w:rPr>
          <w:i/>
          <w:szCs w:val="24"/>
        </w:rPr>
        <w:t xml:space="preserve"> 7/14</w:t>
      </w:r>
      <w:r w:rsidR="007F7C1C">
        <w:rPr>
          <w:i/>
          <w:szCs w:val="24"/>
        </w:rPr>
        <w:t>; NJW 2018,2542)</w:t>
      </w:r>
    </w:p>
    <w:p w:rsidR="00AA3086" w:rsidRDefault="008C7C0E" w:rsidP="00AA3086">
      <w:pPr>
        <w:ind w:left="2832"/>
        <w:jc w:val="both"/>
        <w:rPr>
          <w:szCs w:val="24"/>
        </w:rPr>
      </w:pPr>
      <w:r>
        <w:rPr>
          <w:i/>
          <w:szCs w:val="24"/>
        </w:rPr>
        <w:t xml:space="preserve">Bei einer eher geringfügigen Nebenbeschäftigung während des Studiums soll es sich in der Regel nicht um eine Vorbeschäftigung handeln, so dass eine </w:t>
      </w:r>
      <w:r w:rsidRPr="00B93C26">
        <w:rPr>
          <w:szCs w:val="24"/>
        </w:rPr>
        <w:t xml:space="preserve"> </w:t>
      </w:r>
      <w:r>
        <w:rPr>
          <w:szCs w:val="24"/>
        </w:rPr>
        <w:t>erneute sachgrundlose Befristung wirksam wäre.</w:t>
      </w:r>
      <w:r w:rsidR="007F7C1C">
        <w:rPr>
          <w:szCs w:val="24"/>
        </w:rPr>
        <w:t xml:space="preserve"> (Vgl. BAG vom 12.6.2019 - 7 AZR 429/17)</w:t>
      </w:r>
    </w:p>
    <w:p w:rsidR="008C7C0E" w:rsidRDefault="008C7C0E" w:rsidP="00AA3086">
      <w:pPr>
        <w:ind w:left="2832"/>
        <w:jc w:val="both"/>
        <w:rPr>
          <w:szCs w:val="24"/>
        </w:rPr>
      </w:pPr>
    </w:p>
    <w:p w:rsidR="007F7C1C" w:rsidRPr="00B93C26" w:rsidRDefault="007F7C1C" w:rsidP="00AA3086">
      <w:pPr>
        <w:ind w:left="2832"/>
        <w:jc w:val="both"/>
        <w:rPr>
          <w:szCs w:val="24"/>
        </w:rPr>
      </w:pPr>
    </w:p>
    <w:p w:rsidR="007F7C1C" w:rsidRDefault="007F7C1C" w:rsidP="00AA3086">
      <w:pPr>
        <w:ind w:left="2832"/>
        <w:jc w:val="both"/>
        <w:rPr>
          <w:b/>
          <w:szCs w:val="24"/>
        </w:rPr>
      </w:pPr>
    </w:p>
    <w:p w:rsidR="007F7C1C" w:rsidRDefault="007F7C1C" w:rsidP="00AA3086">
      <w:pPr>
        <w:ind w:left="2832"/>
        <w:jc w:val="both"/>
        <w:rPr>
          <w:b/>
          <w:szCs w:val="24"/>
        </w:rPr>
      </w:pPr>
    </w:p>
    <w:p w:rsidR="00AA3086" w:rsidRPr="00B93C26" w:rsidRDefault="00AA3086" w:rsidP="00AA3086">
      <w:pPr>
        <w:ind w:left="2832"/>
        <w:jc w:val="both"/>
        <w:rPr>
          <w:b/>
          <w:szCs w:val="24"/>
        </w:rPr>
      </w:pPr>
      <w:r w:rsidRPr="00B93C26">
        <w:rPr>
          <w:b/>
          <w:szCs w:val="24"/>
        </w:rPr>
        <w:t xml:space="preserve">Fall </w:t>
      </w:r>
      <w:r w:rsidR="00565156" w:rsidRPr="00B93C26">
        <w:rPr>
          <w:b/>
          <w:szCs w:val="24"/>
        </w:rPr>
        <w:t>1</w:t>
      </w:r>
      <w:r w:rsidR="009770EA" w:rsidRPr="00B93C26">
        <w:rPr>
          <w:b/>
          <w:szCs w:val="24"/>
        </w:rPr>
        <w:t>9</w:t>
      </w:r>
      <w:r w:rsidR="009E374E" w:rsidRPr="00B93C26">
        <w:rPr>
          <w:b/>
          <w:szCs w:val="24"/>
        </w:rPr>
        <w:t>:</w:t>
      </w:r>
    </w:p>
    <w:p w:rsidR="009E374E" w:rsidRDefault="009E374E" w:rsidP="00AA3086">
      <w:pPr>
        <w:ind w:left="2832"/>
        <w:jc w:val="both"/>
        <w:rPr>
          <w:szCs w:val="24"/>
        </w:rPr>
      </w:pPr>
    </w:p>
    <w:p w:rsidR="00AA3086" w:rsidRPr="00AA3086" w:rsidRDefault="00AA3086" w:rsidP="00AA3086">
      <w:pPr>
        <w:ind w:left="2832"/>
        <w:jc w:val="both"/>
        <w:rPr>
          <w:szCs w:val="24"/>
        </w:rPr>
      </w:pPr>
      <w:r w:rsidRPr="00AA3086">
        <w:rPr>
          <w:szCs w:val="24"/>
        </w:rPr>
        <w:t>E ist seit dem 1. August 2008 als Erzieherin in einer Kindertagesstätte der beklagten Stadt mit einer wöchentlichen Arbeitszeit von 22 Stunden beschäftigt. Seit Arbeitsbeginn haben die Parteien sechs befristete Arbeitsverträge vereinbart. Der letzte befristete Änderungsvertrag datiert vo</w:t>
      </w:r>
      <w:r w:rsidR="007A31BD">
        <w:rPr>
          <w:szCs w:val="24"/>
        </w:rPr>
        <w:t>m 22. </w:t>
      </w:r>
      <w:r w:rsidRPr="00AA3086">
        <w:rPr>
          <w:szCs w:val="24"/>
        </w:rPr>
        <w:t>Dezember 2010 und beinhaltet eine Befristung ab dem 1.</w:t>
      </w:r>
      <w:r w:rsidR="007A31BD">
        <w:rPr>
          <w:szCs w:val="24"/>
        </w:rPr>
        <w:t> </w:t>
      </w:r>
      <w:r w:rsidRPr="00AA3086">
        <w:rPr>
          <w:szCs w:val="24"/>
        </w:rPr>
        <w:t xml:space="preserve">Januar 2011 für die Zeit der Vertretung der erkrankten Zusatzkraft Frau L, längstens bis zum 30. Juni 2012. Frau L ist seit Mitte 2009 arbeitsunfähig erkrankt. Mit Schreiben vom 5. März 2009 teilte das Gesundheitsamt der beklagten Stadt nach einer amtsärztlichen Untersuchung von Frau L mit, dass prinzipiell mit der Wiedererlangung der Leistungsfähigkeit entsprechend der beruflichen Anforderung zu rechnen sei. </w:t>
      </w:r>
      <w:r w:rsidRPr="00AA3086">
        <w:rPr>
          <w:szCs w:val="24"/>
        </w:rPr>
        <w:lastRenderedPageBreak/>
        <w:t xml:space="preserve">Nachdem Frau L auch nach dem 30. Juni 2012 arbeitsunfähig krank ist, macht E die Unwirksamkeit der Befristung entsprechend § 17 </w:t>
      </w:r>
      <w:proofErr w:type="spellStart"/>
      <w:r w:rsidRPr="00AA3086">
        <w:rPr>
          <w:szCs w:val="24"/>
        </w:rPr>
        <w:t>TzBfG</w:t>
      </w:r>
      <w:proofErr w:type="spellEnd"/>
      <w:r w:rsidRPr="00AA3086">
        <w:rPr>
          <w:szCs w:val="24"/>
        </w:rPr>
        <w:t xml:space="preserve"> vor dem Arbeitsgericht geltend. Ist die Befristung wirksam?</w:t>
      </w:r>
    </w:p>
    <w:p w:rsidR="00AA3086" w:rsidRPr="00AA3086" w:rsidRDefault="00AA3086" w:rsidP="00AA3086">
      <w:pPr>
        <w:ind w:left="2832"/>
        <w:jc w:val="both"/>
        <w:rPr>
          <w:szCs w:val="24"/>
        </w:rPr>
      </w:pPr>
    </w:p>
    <w:p w:rsidR="009E374E" w:rsidRPr="009E374E" w:rsidRDefault="00AA3086" w:rsidP="00AA3086">
      <w:pPr>
        <w:ind w:left="2832"/>
        <w:jc w:val="both"/>
        <w:rPr>
          <w:b/>
          <w:i/>
          <w:szCs w:val="24"/>
        </w:rPr>
      </w:pPr>
      <w:r w:rsidRPr="009E374E">
        <w:rPr>
          <w:b/>
          <w:i/>
          <w:szCs w:val="24"/>
        </w:rPr>
        <w:t>LAG Rheinland-Pfalz NZA-RR 2013, 16:</w:t>
      </w:r>
    </w:p>
    <w:p w:rsidR="00AA3086" w:rsidRPr="009E374E" w:rsidRDefault="00AA3086" w:rsidP="00AA3086">
      <w:pPr>
        <w:ind w:left="2832"/>
        <w:jc w:val="both"/>
        <w:rPr>
          <w:i/>
          <w:szCs w:val="24"/>
        </w:rPr>
      </w:pPr>
      <w:r w:rsidRPr="009E374E">
        <w:rPr>
          <w:i/>
          <w:szCs w:val="24"/>
        </w:rPr>
        <w:t xml:space="preserve">1. Teil des Sachgrundes nach § 14 Abs. 1 Satz 2 Nr. 3 </w:t>
      </w:r>
      <w:proofErr w:type="spellStart"/>
      <w:r w:rsidRPr="009E374E">
        <w:rPr>
          <w:i/>
          <w:szCs w:val="24"/>
        </w:rPr>
        <w:t>TzBfG</w:t>
      </w:r>
      <w:proofErr w:type="spellEnd"/>
      <w:r w:rsidRPr="009E374E">
        <w:rPr>
          <w:i/>
          <w:szCs w:val="24"/>
        </w:rPr>
        <w:t xml:space="preserve"> ist eine Prognose des Arbeitgebers im Zeitpunkt des Abschlusses des befristeten Arbeitsvertrages über den voraussichtlichen Wegfall des Vertretungsbedarfs durch die Rückkehr des vertretenen Mitarbeiters. Davon kann grundsätzlich ausgegangen werden, weil in der Regel damit zu rechnen ist, dass der Vertretene nach Beendigung der Freistellung oder Beurlaubung seine arbeitsvertraglichen Pflichten wieder erfüllen wird. </w:t>
      </w:r>
    </w:p>
    <w:p w:rsidR="00AA3086" w:rsidRPr="009E374E" w:rsidRDefault="00AA3086" w:rsidP="00AA3086">
      <w:pPr>
        <w:ind w:left="2832"/>
        <w:jc w:val="both"/>
        <w:rPr>
          <w:i/>
          <w:szCs w:val="24"/>
        </w:rPr>
      </w:pPr>
      <w:r w:rsidRPr="009E374E">
        <w:rPr>
          <w:i/>
          <w:szCs w:val="24"/>
        </w:rPr>
        <w:t xml:space="preserve">2. Auch eine wiederholte Befristung wegen der mehrfachen Verhinderung der zu vertretenden Stammkraft steht der Prognose des künftigen Wegfalls des Vertretungsbedarfs nicht entgegen. Nur wenn der Arbeitgeber im Ausnahmefall aufgrund ihm vorliegender Informationen erhebliche Zweifel daran haben muss, dass die zu vertretende Stammkraft überhaupt wieder an ihren Arbeitsplatz zurückkehren wird, kann dies dafür sprechen, dass der Sachgrund der Vertretung nur vorgeschoben ist. Dann ist die Befristung unwirksam. </w:t>
      </w:r>
    </w:p>
    <w:p w:rsidR="00AA3086" w:rsidRPr="009E374E" w:rsidRDefault="00AA3086" w:rsidP="00AA3086">
      <w:pPr>
        <w:ind w:left="2832"/>
        <w:jc w:val="both"/>
        <w:rPr>
          <w:i/>
          <w:szCs w:val="24"/>
        </w:rPr>
      </w:pPr>
      <w:r w:rsidRPr="009E374E">
        <w:rPr>
          <w:i/>
          <w:szCs w:val="24"/>
        </w:rPr>
        <w:t xml:space="preserve">3. Dies setzt allerdings voraus, dass der zu vertretende Arbeitnehmer dem Arbeitgeber bereits vor dem Abschluss des befristeten Arbeitsvertrages mit der Vertretungskraft verbindlich erklärt hat, dass er die Arbeit nicht wieder aufnehmen werde. Ansonsten darf und muss der Arbeitgeber mit dessen Rückkehr auf den Arbeitsplatz rechnen. </w:t>
      </w:r>
    </w:p>
    <w:p w:rsidR="00AA3086" w:rsidRPr="009E374E" w:rsidRDefault="00AA3086" w:rsidP="00AA3086">
      <w:pPr>
        <w:ind w:left="2832"/>
        <w:jc w:val="both"/>
        <w:rPr>
          <w:i/>
          <w:szCs w:val="24"/>
        </w:rPr>
      </w:pPr>
      <w:r w:rsidRPr="009E374E">
        <w:rPr>
          <w:i/>
          <w:szCs w:val="24"/>
        </w:rPr>
        <w:t xml:space="preserve">4. Im vorliegenden Fall durfte zum Zeitpunkt der Prognose </w:t>
      </w:r>
      <w:r w:rsidR="009E374E">
        <w:rPr>
          <w:i/>
          <w:szCs w:val="24"/>
        </w:rPr>
        <w:noBreakHyphen/>
        <w:t> </w:t>
      </w:r>
      <w:r w:rsidRPr="009E374E">
        <w:rPr>
          <w:i/>
          <w:szCs w:val="24"/>
        </w:rPr>
        <w:t xml:space="preserve">Abschluss des letzten befristeten Arbeitsvertrages – der Arbeitgeber davon ausgehen, dass der Vertretungsbedarf ein </w:t>
      </w:r>
      <w:r w:rsidR="00164F46" w:rsidRPr="009E374E">
        <w:rPr>
          <w:i/>
          <w:szCs w:val="24"/>
        </w:rPr>
        <w:t>vorübergehender</w:t>
      </w:r>
      <w:r w:rsidRPr="009E374E">
        <w:rPr>
          <w:i/>
          <w:szCs w:val="24"/>
        </w:rPr>
        <w:t xml:space="preserve"> sein wird. Es gibt keinen allgemeinen Erfahrungssatz, dass längere Zeit erkrankte Arbeitnehmer ihre Arbeit überhaupt nicht wieder aufnehmen werden. </w:t>
      </w:r>
    </w:p>
    <w:p w:rsidR="003D4501" w:rsidRDefault="003D4501" w:rsidP="00841D00">
      <w:pPr>
        <w:ind w:left="2832"/>
      </w:pPr>
    </w:p>
    <w:p w:rsidR="003D4501" w:rsidRDefault="003D4501" w:rsidP="00841D00">
      <w:pPr>
        <w:ind w:left="2832"/>
      </w:pPr>
    </w:p>
    <w:sectPr w:rsidR="003D4501" w:rsidSect="004F0789">
      <w:footerReference w:type="default" r:id="rId7"/>
      <w:headerReference w:type="first" r:id="rId8"/>
      <w:pgSz w:w="11906" w:h="16838"/>
      <w:pgMar w:top="1417" w:right="1417" w:bottom="1134" w:left="1417" w:header="34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347" w:rsidRDefault="00F13347" w:rsidP="00F13954">
      <w:r>
        <w:separator/>
      </w:r>
    </w:p>
  </w:endnote>
  <w:endnote w:type="continuationSeparator" w:id="0">
    <w:p w:rsidR="00F13347" w:rsidRDefault="00F13347" w:rsidP="00F1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A3" w:rsidRPr="008941BC" w:rsidRDefault="00FB00A3" w:rsidP="008941BC">
    <w:pPr>
      <w:pStyle w:val="Fuzeile"/>
      <w:jc w:val="center"/>
      <w:rPr>
        <w:szCs w:val="24"/>
      </w:rPr>
    </w:pPr>
    <w:r w:rsidRPr="008941BC">
      <w:rPr>
        <w:szCs w:val="24"/>
      </w:rPr>
      <w:fldChar w:fldCharType="begin"/>
    </w:r>
    <w:r w:rsidRPr="008941BC">
      <w:rPr>
        <w:szCs w:val="24"/>
      </w:rPr>
      <w:instrText>PAGE   \* MERGEFORMAT</w:instrText>
    </w:r>
    <w:r w:rsidRPr="008941BC">
      <w:rPr>
        <w:szCs w:val="24"/>
      </w:rPr>
      <w:fldChar w:fldCharType="separate"/>
    </w:r>
    <w:r w:rsidR="003526F4">
      <w:rPr>
        <w:noProof/>
        <w:szCs w:val="24"/>
      </w:rPr>
      <w:t>42</w:t>
    </w:r>
    <w:r w:rsidRPr="008941BC">
      <w:rPr>
        <w:szCs w:val="24"/>
      </w:rPr>
      <w:fldChar w:fldCharType="end"/>
    </w:r>
  </w:p>
  <w:p w:rsidR="00FB00A3" w:rsidRPr="00F13954" w:rsidRDefault="00FB00A3">
    <w:pPr>
      <w:pStyle w:val="Fuzeile"/>
      <w:rPr>
        <w:sz w:val="8"/>
        <w:szCs w:val="8"/>
      </w:rPr>
    </w:pPr>
    <w:r w:rsidRPr="00F13954">
      <w:rPr>
        <w:sz w:val="8"/>
        <w:szCs w:val="8"/>
      </w:rPr>
      <w:fldChar w:fldCharType="begin"/>
    </w:r>
    <w:r w:rsidRPr="00F13954">
      <w:rPr>
        <w:sz w:val="8"/>
        <w:szCs w:val="8"/>
      </w:rPr>
      <w:instrText xml:space="preserve"> FILENAME  \p  \* MERGEFORMAT </w:instrText>
    </w:r>
    <w:r w:rsidRPr="00F13954">
      <w:rPr>
        <w:sz w:val="8"/>
        <w:szCs w:val="8"/>
      </w:rPr>
      <w:fldChar w:fldCharType="separate"/>
    </w:r>
    <w:r>
      <w:rPr>
        <w:noProof/>
        <w:sz w:val="8"/>
        <w:szCs w:val="8"/>
      </w:rPr>
      <w:t>C:\Users\User\Documents\Eigene Dateien\Hantel\Wildau\Skripte\Handels-Gesellschafts-Arbeitsrecht für Betriebswirte_Fälle.docx</w:t>
    </w:r>
    <w:r w:rsidRPr="00F13954">
      <w:rPr>
        <w:sz w:val="8"/>
        <w:szCs w:val="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347" w:rsidRDefault="00F13347" w:rsidP="00F13954">
      <w:r>
        <w:separator/>
      </w:r>
    </w:p>
  </w:footnote>
  <w:footnote w:type="continuationSeparator" w:id="0">
    <w:p w:rsidR="00F13347" w:rsidRDefault="00F13347" w:rsidP="00F13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A3" w:rsidRDefault="00FB00A3">
    <w:pPr>
      <w:pStyle w:val="Kopfzeile"/>
    </w:pPr>
    <w:r>
      <w:rPr>
        <w:i/>
        <w:iCs/>
        <w:sz w:val="36"/>
      </w:rPr>
      <w:t xml:space="preserve">                                         Prof. Dr. Peter Hantel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B2E"/>
    <w:multiLevelType w:val="hybridMultilevel"/>
    <w:tmpl w:val="5974308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64663BB"/>
    <w:multiLevelType w:val="hybridMultilevel"/>
    <w:tmpl w:val="F246049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C1075A"/>
    <w:multiLevelType w:val="hybridMultilevel"/>
    <w:tmpl w:val="7AC2F4D6"/>
    <w:lvl w:ilvl="0" w:tplc="0407000F">
      <w:start w:val="1"/>
      <w:numFmt w:val="decimal"/>
      <w:lvlText w:val="%1."/>
      <w:lvlJc w:val="left"/>
      <w:pPr>
        <w:ind w:left="2484" w:hanging="360"/>
      </w:p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3" w15:restartNumberingAfterBreak="0">
    <w:nsid w:val="09361423"/>
    <w:multiLevelType w:val="hybridMultilevel"/>
    <w:tmpl w:val="70C21DE8"/>
    <w:lvl w:ilvl="0" w:tplc="40C07288">
      <w:start w:val="1"/>
      <w:numFmt w:val="lowerLetter"/>
      <w:lvlText w:val="%1."/>
      <w:lvlJc w:val="left"/>
      <w:pPr>
        <w:tabs>
          <w:tab w:val="num" w:pos="510"/>
        </w:tabs>
        <w:ind w:left="510" w:hanging="51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11B32218"/>
    <w:multiLevelType w:val="hybridMultilevel"/>
    <w:tmpl w:val="749CDEF2"/>
    <w:lvl w:ilvl="0" w:tplc="04070003">
      <w:start w:val="1"/>
      <w:numFmt w:val="bullet"/>
      <w:lvlText w:val="o"/>
      <w:lvlJc w:val="left"/>
      <w:pPr>
        <w:ind w:left="1416" w:hanging="360"/>
      </w:pPr>
      <w:rPr>
        <w:rFonts w:ascii="Courier New" w:hAnsi="Courier New" w:cs="Courier New" w:hint="default"/>
      </w:rPr>
    </w:lvl>
    <w:lvl w:ilvl="1" w:tplc="04070003">
      <w:start w:val="1"/>
      <w:numFmt w:val="bullet"/>
      <w:lvlText w:val="o"/>
      <w:lvlJc w:val="left"/>
      <w:pPr>
        <w:ind w:left="2136" w:hanging="360"/>
      </w:pPr>
      <w:rPr>
        <w:rFonts w:ascii="Courier New" w:hAnsi="Courier New" w:cs="Courier New" w:hint="default"/>
      </w:rPr>
    </w:lvl>
    <w:lvl w:ilvl="2" w:tplc="04070005" w:tentative="1">
      <w:start w:val="1"/>
      <w:numFmt w:val="bullet"/>
      <w:lvlText w:val=""/>
      <w:lvlJc w:val="left"/>
      <w:pPr>
        <w:ind w:left="2856" w:hanging="360"/>
      </w:pPr>
      <w:rPr>
        <w:rFonts w:ascii="Wingdings" w:hAnsi="Wingdings" w:hint="default"/>
      </w:rPr>
    </w:lvl>
    <w:lvl w:ilvl="3" w:tplc="04070001" w:tentative="1">
      <w:start w:val="1"/>
      <w:numFmt w:val="bullet"/>
      <w:lvlText w:val=""/>
      <w:lvlJc w:val="left"/>
      <w:pPr>
        <w:ind w:left="3576" w:hanging="360"/>
      </w:pPr>
      <w:rPr>
        <w:rFonts w:ascii="Symbol" w:hAnsi="Symbol" w:hint="default"/>
      </w:rPr>
    </w:lvl>
    <w:lvl w:ilvl="4" w:tplc="04070003" w:tentative="1">
      <w:start w:val="1"/>
      <w:numFmt w:val="bullet"/>
      <w:lvlText w:val="o"/>
      <w:lvlJc w:val="left"/>
      <w:pPr>
        <w:ind w:left="4296" w:hanging="360"/>
      </w:pPr>
      <w:rPr>
        <w:rFonts w:ascii="Courier New" w:hAnsi="Courier New" w:cs="Courier New" w:hint="default"/>
      </w:rPr>
    </w:lvl>
    <w:lvl w:ilvl="5" w:tplc="04070005" w:tentative="1">
      <w:start w:val="1"/>
      <w:numFmt w:val="bullet"/>
      <w:lvlText w:val=""/>
      <w:lvlJc w:val="left"/>
      <w:pPr>
        <w:ind w:left="5016" w:hanging="360"/>
      </w:pPr>
      <w:rPr>
        <w:rFonts w:ascii="Wingdings" w:hAnsi="Wingdings" w:hint="default"/>
      </w:rPr>
    </w:lvl>
    <w:lvl w:ilvl="6" w:tplc="04070001" w:tentative="1">
      <w:start w:val="1"/>
      <w:numFmt w:val="bullet"/>
      <w:lvlText w:val=""/>
      <w:lvlJc w:val="left"/>
      <w:pPr>
        <w:ind w:left="5736" w:hanging="360"/>
      </w:pPr>
      <w:rPr>
        <w:rFonts w:ascii="Symbol" w:hAnsi="Symbol" w:hint="default"/>
      </w:rPr>
    </w:lvl>
    <w:lvl w:ilvl="7" w:tplc="04070003" w:tentative="1">
      <w:start w:val="1"/>
      <w:numFmt w:val="bullet"/>
      <w:lvlText w:val="o"/>
      <w:lvlJc w:val="left"/>
      <w:pPr>
        <w:ind w:left="6456" w:hanging="360"/>
      </w:pPr>
      <w:rPr>
        <w:rFonts w:ascii="Courier New" w:hAnsi="Courier New" w:cs="Courier New" w:hint="default"/>
      </w:rPr>
    </w:lvl>
    <w:lvl w:ilvl="8" w:tplc="04070005" w:tentative="1">
      <w:start w:val="1"/>
      <w:numFmt w:val="bullet"/>
      <w:lvlText w:val=""/>
      <w:lvlJc w:val="left"/>
      <w:pPr>
        <w:ind w:left="7176" w:hanging="360"/>
      </w:pPr>
      <w:rPr>
        <w:rFonts w:ascii="Wingdings" w:hAnsi="Wingdings" w:hint="default"/>
      </w:rPr>
    </w:lvl>
  </w:abstractNum>
  <w:abstractNum w:abstractNumId="5" w15:restartNumberingAfterBreak="0">
    <w:nsid w:val="16EB65C3"/>
    <w:multiLevelType w:val="hybridMultilevel"/>
    <w:tmpl w:val="669CF456"/>
    <w:lvl w:ilvl="0" w:tplc="04070003">
      <w:start w:val="1"/>
      <w:numFmt w:val="bullet"/>
      <w:lvlText w:val="o"/>
      <w:lvlJc w:val="left"/>
      <w:pPr>
        <w:ind w:left="1416" w:hanging="360"/>
      </w:pPr>
      <w:rPr>
        <w:rFonts w:ascii="Courier New" w:hAnsi="Courier New" w:cs="Courier New" w:hint="default"/>
      </w:rPr>
    </w:lvl>
    <w:lvl w:ilvl="1" w:tplc="04070003">
      <w:start w:val="1"/>
      <w:numFmt w:val="bullet"/>
      <w:lvlText w:val="o"/>
      <w:lvlJc w:val="left"/>
      <w:pPr>
        <w:ind w:left="2136" w:hanging="360"/>
      </w:pPr>
      <w:rPr>
        <w:rFonts w:ascii="Courier New" w:hAnsi="Courier New" w:cs="Courier New" w:hint="default"/>
      </w:rPr>
    </w:lvl>
    <w:lvl w:ilvl="2" w:tplc="04070005" w:tentative="1">
      <w:start w:val="1"/>
      <w:numFmt w:val="bullet"/>
      <w:lvlText w:val=""/>
      <w:lvlJc w:val="left"/>
      <w:pPr>
        <w:ind w:left="2856" w:hanging="360"/>
      </w:pPr>
      <w:rPr>
        <w:rFonts w:ascii="Wingdings" w:hAnsi="Wingdings" w:hint="default"/>
      </w:rPr>
    </w:lvl>
    <w:lvl w:ilvl="3" w:tplc="04070001" w:tentative="1">
      <w:start w:val="1"/>
      <w:numFmt w:val="bullet"/>
      <w:lvlText w:val=""/>
      <w:lvlJc w:val="left"/>
      <w:pPr>
        <w:ind w:left="3576" w:hanging="360"/>
      </w:pPr>
      <w:rPr>
        <w:rFonts w:ascii="Symbol" w:hAnsi="Symbol" w:hint="default"/>
      </w:rPr>
    </w:lvl>
    <w:lvl w:ilvl="4" w:tplc="04070003" w:tentative="1">
      <w:start w:val="1"/>
      <w:numFmt w:val="bullet"/>
      <w:lvlText w:val="o"/>
      <w:lvlJc w:val="left"/>
      <w:pPr>
        <w:ind w:left="4296" w:hanging="360"/>
      </w:pPr>
      <w:rPr>
        <w:rFonts w:ascii="Courier New" w:hAnsi="Courier New" w:cs="Courier New" w:hint="default"/>
      </w:rPr>
    </w:lvl>
    <w:lvl w:ilvl="5" w:tplc="04070005" w:tentative="1">
      <w:start w:val="1"/>
      <w:numFmt w:val="bullet"/>
      <w:lvlText w:val=""/>
      <w:lvlJc w:val="left"/>
      <w:pPr>
        <w:ind w:left="5016" w:hanging="360"/>
      </w:pPr>
      <w:rPr>
        <w:rFonts w:ascii="Wingdings" w:hAnsi="Wingdings" w:hint="default"/>
      </w:rPr>
    </w:lvl>
    <w:lvl w:ilvl="6" w:tplc="04070001" w:tentative="1">
      <w:start w:val="1"/>
      <w:numFmt w:val="bullet"/>
      <w:lvlText w:val=""/>
      <w:lvlJc w:val="left"/>
      <w:pPr>
        <w:ind w:left="5736" w:hanging="360"/>
      </w:pPr>
      <w:rPr>
        <w:rFonts w:ascii="Symbol" w:hAnsi="Symbol" w:hint="default"/>
      </w:rPr>
    </w:lvl>
    <w:lvl w:ilvl="7" w:tplc="04070003" w:tentative="1">
      <w:start w:val="1"/>
      <w:numFmt w:val="bullet"/>
      <w:lvlText w:val="o"/>
      <w:lvlJc w:val="left"/>
      <w:pPr>
        <w:ind w:left="6456" w:hanging="360"/>
      </w:pPr>
      <w:rPr>
        <w:rFonts w:ascii="Courier New" w:hAnsi="Courier New" w:cs="Courier New" w:hint="default"/>
      </w:rPr>
    </w:lvl>
    <w:lvl w:ilvl="8" w:tplc="04070005" w:tentative="1">
      <w:start w:val="1"/>
      <w:numFmt w:val="bullet"/>
      <w:lvlText w:val=""/>
      <w:lvlJc w:val="left"/>
      <w:pPr>
        <w:ind w:left="7176" w:hanging="360"/>
      </w:pPr>
      <w:rPr>
        <w:rFonts w:ascii="Wingdings" w:hAnsi="Wingdings" w:hint="default"/>
      </w:rPr>
    </w:lvl>
  </w:abstractNum>
  <w:abstractNum w:abstractNumId="6" w15:restartNumberingAfterBreak="0">
    <w:nsid w:val="17735595"/>
    <w:multiLevelType w:val="hybridMultilevel"/>
    <w:tmpl w:val="F32A2590"/>
    <w:lvl w:ilvl="0" w:tplc="0407000F">
      <w:start w:val="1"/>
      <w:numFmt w:val="decimal"/>
      <w:lvlText w:val="%1."/>
      <w:lvlJc w:val="lef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7" w15:restartNumberingAfterBreak="0">
    <w:nsid w:val="19F0469E"/>
    <w:multiLevelType w:val="hybridMultilevel"/>
    <w:tmpl w:val="AE20B27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8AE49CB"/>
    <w:multiLevelType w:val="hybridMultilevel"/>
    <w:tmpl w:val="853CCACC"/>
    <w:lvl w:ilvl="0" w:tplc="5EC6681C">
      <w:numFmt w:val="bullet"/>
      <w:lvlText w:val="-"/>
      <w:lvlJc w:val="left"/>
      <w:pPr>
        <w:ind w:left="360" w:hanging="360"/>
      </w:pPr>
      <w:rPr>
        <w:rFonts w:ascii="Times New Roman" w:eastAsia="Calibr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55C3BAC"/>
    <w:multiLevelType w:val="hybridMultilevel"/>
    <w:tmpl w:val="FA3C67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7A23A5"/>
    <w:multiLevelType w:val="hybridMultilevel"/>
    <w:tmpl w:val="4B3A8264"/>
    <w:lvl w:ilvl="0" w:tplc="0407000F">
      <w:start w:val="1"/>
      <w:numFmt w:val="decimal"/>
      <w:lvlText w:val="%1."/>
      <w:lvlJc w:val="left"/>
      <w:pPr>
        <w:tabs>
          <w:tab w:val="num" w:pos="723"/>
        </w:tabs>
        <w:ind w:left="723" w:hanging="360"/>
      </w:pPr>
    </w:lvl>
    <w:lvl w:ilvl="1" w:tplc="04070019" w:tentative="1">
      <w:start w:val="1"/>
      <w:numFmt w:val="lowerLetter"/>
      <w:lvlText w:val="%2."/>
      <w:lvlJc w:val="left"/>
      <w:pPr>
        <w:tabs>
          <w:tab w:val="num" w:pos="1443"/>
        </w:tabs>
        <w:ind w:left="1443" w:hanging="360"/>
      </w:pPr>
    </w:lvl>
    <w:lvl w:ilvl="2" w:tplc="0407001B" w:tentative="1">
      <w:start w:val="1"/>
      <w:numFmt w:val="lowerRoman"/>
      <w:lvlText w:val="%3."/>
      <w:lvlJc w:val="right"/>
      <w:pPr>
        <w:tabs>
          <w:tab w:val="num" w:pos="2163"/>
        </w:tabs>
        <w:ind w:left="2163" w:hanging="180"/>
      </w:pPr>
    </w:lvl>
    <w:lvl w:ilvl="3" w:tplc="0407000F" w:tentative="1">
      <w:start w:val="1"/>
      <w:numFmt w:val="decimal"/>
      <w:lvlText w:val="%4."/>
      <w:lvlJc w:val="left"/>
      <w:pPr>
        <w:tabs>
          <w:tab w:val="num" w:pos="2883"/>
        </w:tabs>
        <w:ind w:left="2883" w:hanging="360"/>
      </w:pPr>
    </w:lvl>
    <w:lvl w:ilvl="4" w:tplc="04070019" w:tentative="1">
      <w:start w:val="1"/>
      <w:numFmt w:val="lowerLetter"/>
      <w:lvlText w:val="%5."/>
      <w:lvlJc w:val="left"/>
      <w:pPr>
        <w:tabs>
          <w:tab w:val="num" w:pos="3603"/>
        </w:tabs>
        <w:ind w:left="3603" w:hanging="360"/>
      </w:pPr>
    </w:lvl>
    <w:lvl w:ilvl="5" w:tplc="0407001B" w:tentative="1">
      <w:start w:val="1"/>
      <w:numFmt w:val="lowerRoman"/>
      <w:lvlText w:val="%6."/>
      <w:lvlJc w:val="right"/>
      <w:pPr>
        <w:tabs>
          <w:tab w:val="num" w:pos="4323"/>
        </w:tabs>
        <w:ind w:left="4323" w:hanging="180"/>
      </w:pPr>
    </w:lvl>
    <w:lvl w:ilvl="6" w:tplc="0407000F" w:tentative="1">
      <w:start w:val="1"/>
      <w:numFmt w:val="decimal"/>
      <w:lvlText w:val="%7."/>
      <w:lvlJc w:val="left"/>
      <w:pPr>
        <w:tabs>
          <w:tab w:val="num" w:pos="5043"/>
        </w:tabs>
        <w:ind w:left="5043" w:hanging="360"/>
      </w:pPr>
    </w:lvl>
    <w:lvl w:ilvl="7" w:tplc="04070019" w:tentative="1">
      <w:start w:val="1"/>
      <w:numFmt w:val="lowerLetter"/>
      <w:lvlText w:val="%8."/>
      <w:lvlJc w:val="left"/>
      <w:pPr>
        <w:tabs>
          <w:tab w:val="num" w:pos="5763"/>
        </w:tabs>
        <w:ind w:left="5763" w:hanging="360"/>
      </w:pPr>
    </w:lvl>
    <w:lvl w:ilvl="8" w:tplc="0407001B" w:tentative="1">
      <w:start w:val="1"/>
      <w:numFmt w:val="lowerRoman"/>
      <w:lvlText w:val="%9."/>
      <w:lvlJc w:val="right"/>
      <w:pPr>
        <w:tabs>
          <w:tab w:val="num" w:pos="6483"/>
        </w:tabs>
        <w:ind w:left="6483" w:hanging="180"/>
      </w:pPr>
    </w:lvl>
  </w:abstractNum>
  <w:abstractNum w:abstractNumId="11" w15:restartNumberingAfterBreak="0">
    <w:nsid w:val="36BE4E60"/>
    <w:multiLevelType w:val="hybridMultilevel"/>
    <w:tmpl w:val="FE2681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095050"/>
    <w:multiLevelType w:val="hybridMultilevel"/>
    <w:tmpl w:val="1538852E"/>
    <w:lvl w:ilvl="0" w:tplc="C2BEA8D2">
      <w:start w:val="1"/>
      <w:numFmt w:val="decimal"/>
      <w:lvlText w:val="%1."/>
      <w:lvlJc w:val="left"/>
      <w:pPr>
        <w:ind w:left="3372" w:hanging="54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13" w15:restartNumberingAfterBreak="0">
    <w:nsid w:val="4C592700"/>
    <w:multiLevelType w:val="hybridMultilevel"/>
    <w:tmpl w:val="2BA81A0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F942588"/>
    <w:multiLevelType w:val="hybridMultilevel"/>
    <w:tmpl w:val="FD125352"/>
    <w:lvl w:ilvl="0" w:tplc="0407000F">
      <w:start w:val="1"/>
      <w:numFmt w:val="decimal"/>
      <w:lvlText w:val="%1."/>
      <w:lvlJc w:val="left"/>
      <w:pPr>
        <w:tabs>
          <w:tab w:val="num" w:pos="2484"/>
        </w:tabs>
        <w:ind w:left="2484" w:hanging="360"/>
      </w:pPr>
    </w:lvl>
    <w:lvl w:ilvl="1" w:tplc="04070019" w:tentative="1">
      <w:start w:val="1"/>
      <w:numFmt w:val="lowerLetter"/>
      <w:lvlText w:val="%2."/>
      <w:lvlJc w:val="left"/>
      <w:pPr>
        <w:tabs>
          <w:tab w:val="num" w:pos="3204"/>
        </w:tabs>
        <w:ind w:left="3204" w:hanging="360"/>
      </w:pPr>
    </w:lvl>
    <w:lvl w:ilvl="2" w:tplc="0407001B" w:tentative="1">
      <w:start w:val="1"/>
      <w:numFmt w:val="lowerRoman"/>
      <w:lvlText w:val="%3."/>
      <w:lvlJc w:val="right"/>
      <w:pPr>
        <w:tabs>
          <w:tab w:val="num" w:pos="3924"/>
        </w:tabs>
        <w:ind w:left="3924" w:hanging="180"/>
      </w:pPr>
    </w:lvl>
    <w:lvl w:ilvl="3" w:tplc="0407000F" w:tentative="1">
      <w:start w:val="1"/>
      <w:numFmt w:val="decimal"/>
      <w:lvlText w:val="%4."/>
      <w:lvlJc w:val="left"/>
      <w:pPr>
        <w:tabs>
          <w:tab w:val="num" w:pos="4644"/>
        </w:tabs>
        <w:ind w:left="4644" w:hanging="360"/>
      </w:pPr>
    </w:lvl>
    <w:lvl w:ilvl="4" w:tplc="04070019" w:tentative="1">
      <w:start w:val="1"/>
      <w:numFmt w:val="lowerLetter"/>
      <w:lvlText w:val="%5."/>
      <w:lvlJc w:val="left"/>
      <w:pPr>
        <w:tabs>
          <w:tab w:val="num" w:pos="5364"/>
        </w:tabs>
        <w:ind w:left="5364" w:hanging="360"/>
      </w:pPr>
    </w:lvl>
    <w:lvl w:ilvl="5" w:tplc="0407001B" w:tentative="1">
      <w:start w:val="1"/>
      <w:numFmt w:val="lowerRoman"/>
      <w:lvlText w:val="%6."/>
      <w:lvlJc w:val="right"/>
      <w:pPr>
        <w:tabs>
          <w:tab w:val="num" w:pos="6084"/>
        </w:tabs>
        <w:ind w:left="6084" w:hanging="180"/>
      </w:pPr>
    </w:lvl>
    <w:lvl w:ilvl="6" w:tplc="0407000F" w:tentative="1">
      <w:start w:val="1"/>
      <w:numFmt w:val="decimal"/>
      <w:lvlText w:val="%7."/>
      <w:lvlJc w:val="left"/>
      <w:pPr>
        <w:tabs>
          <w:tab w:val="num" w:pos="6804"/>
        </w:tabs>
        <w:ind w:left="6804" w:hanging="360"/>
      </w:pPr>
    </w:lvl>
    <w:lvl w:ilvl="7" w:tplc="04070019" w:tentative="1">
      <w:start w:val="1"/>
      <w:numFmt w:val="lowerLetter"/>
      <w:lvlText w:val="%8."/>
      <w:lvlJc w:val="left"/>
      <w:pPr>
        <w:tabs>
          <w:tab w:val="num" w:pos="7524"/>
        </w:tabs>
        <w:ind w:left="7524" w:hanging="360"/>
      </w:pPr>
    </w:lvl>
    <w:lvl w:ilvl="8" w:tplc="0407001B" w:tentative="1">
      <w:start w:val="1"/>
      <w:numFmt w:val="lowerRoman"/>
      <w:lvlText w:val="%9."/>
      <w:lvlJc w:val="right"/>
      <w:pPr>
        <w:tabs>
          <w:tab w:val="num" w:pos="8244"/>
        </w:tabs>
        <w:ind w:left="8244" w:hanging="180"/>
      </w:pPr>
    </w:lvl>
  </w:abstractNum>
  <w:abstractNum w:abstractNumId="15" w15:restartNumberingAfterBreak="0">
    <w:nsid w:val="53D67F10"/>
    <w:multiLevelType w:val="hybridMultilevel"/>
    <w:tmpl w:val="9752A578"/>
    <w:lvl w:ilvl="0" w:tplc="04070003">
      <w:start w:val="1"/>
      <w:numFmt w:val="bullet"/>
      <w:lvlText w:val="o"/>
      <w:lvlJc w:val="left"/>
      <w:pPr>
        <w:ind w:left="1416" w:hanging="360"/>
      </w:pPr>
      <w:rPr>
        <w:rFonts w:ascii="Courier New" w:hAnsi="Courier New" w:cs="Courier New" w:hint="default"/>
      </w:rPr>
    </w:lvl>
    <w:lvl w:ilvl="1" w:tplc="04070003">
      <w:start w:val="1"/>
      <w:numFmt w:val="bullet"/>
      <w:lvlText w:val="o"/>
      <w:lvlJc w:val="left"/>
      <w:pPr>
        <w:ind w:left="2136" w:hanging="360"/>
      </w:pPr>
      <w:rPr>
        <w:rFonts w:ascii="Courier New" w:hAnsi="Courier New" w:cs="Courier New" w:hint="default"/>
      </w:rPr>
    </w:lvl>
    <w:lvl w:ilvl="2" w:tplc="04070005" w:tentative="1">
      <w:start w:val="1"/>
      <w:numFmt w:val="bullet"/>
      <w:lvlText w:val=""/>
      <w:lvlJc w:val="left"/>
      <w:pPr>
        <w:ind w:left="2856" w:hanging="360"/>
      </w:pPr>
      <w:rPr>
        <w:rFonts w:ascii="Wingdings" w:hAnsi="Wingdings" w:hint="default"/>
      </w:rPr>
    </w:lvl>
    <w:lvl w:ilvl="3" w:tplc="04070001" w:tentative="1">
      <w:start w:val="1"/>
      <w:numFmt w:val="bullet"/>
      <w:lvlText w:val=""/>
      <w:lvlJc w:val="left"/>
      <w:pPr>
        <w:ind w:left="3576" w:hanging="360"/>
      </w:pPr>
      <w:rPr>
        <w:rFonts w:ascii="Symbol" w:hAnsi="Symbol" w:hint="default"/>
      </w:rPr>
    </w:lvl>
    <w:lvl w:ilvl="4" w:tplc="04070003" w:tentative="1">
      <w:start w:val="1"/>
      <w:numFmt w:val="bullet"/>
      <w:lvlText w:val="o"/>
      <w:lvlJc w:val="left"/>
      <w:pPr>
        <w:ind w:left="4296" w:hanging="360"/>
      </w:pPr>
      <w:rPr>
        <w:rFonts w:ascii="Courier New" w:hAnsi="Courier New" w:cs="Courier New" w:hint="default"/>
      </w:rPr>
    </w:lvl>
    <w:lvl w:ilvl="5" w:tplc="04070005" w:tentative="1">
      <w:start w:val="1"/>
      <w:numFmt w:val="bullet"/>
      <w:lvlText w:val=""/>
      <w:lvlJc w:val="left"/>
      <w:pPr>
        <w:ind w:left="5016" w:hanging="360"/>
      </w:pPr>
      <w:rPr>
        <w:rFonts w:ascii="Wingdings" w:hAnsi="Wingdings" w:hint="default"/>
      </w:rPr>
    </w:lvl>
    <w:lvl w:ilvl="6" w:tplc="04070001" w:tentative="1">
      <w:start w:val="1"/>
      <w:numFmt w:val="bullet"/>
      <w:lvlText w:val=""/>
      <w:lvlJc w:val="left"/>
      <w:pPr>
        <w:ind w:left="5736" w:hanging="360"/>
      </w:pPr>
      <w:rPr>
        <w:rFonts w:ascii="Symbol" w:hAnsi="Symbol" w:hint="default"/>
      </w:rPr>
    </w:lvl>
    <w:lvl w:ilvl="7" w:tplc="04070003" w:tentative="1">
      <w:start w:val="1"/>
      <w:numFmt w:val="bullet"/>
      <w:lvlText w:val="o"/>
      <w:lvlJc w:val="left"/>
      <w:pPr>
        <w:ind w:left="6456" w:hanging="360"/>
      </w:pPr>
      <w:rPr>
        <w:rFonts w:ascii="Courier New" w:hAnsi="Courier New" w:cs="Courier New" w:hint="default"/>
      </w:rPr>
    </w:lvl>
    <w:lvl w:ilvl="8" w:tplc="04070005" w:tentative="1">
      <w:start w:val="1"/>
      <w:numFmt w:val="bullet"/>
      <w:lvlText w:val=""/>
      <w:lvlJc w:val="left"/>
      <w:pPr>
        <w:ind w:left="7176" w:hanging="360"/>
      </w:pPr>
      <w:rPr>
        <w:rFonts w:ascii="Wingdings" w:hAnsi="Wingdings" w:hint="default"/>
      </w:rPr>
    </w:lvl>
  </w:abstractNum>
  <w:abstractNum w:abstractNumId="16" w15:restartNumberingAfterBreak="0">
    <w:nsid w:val="541732AC"/>
    <w:multiLevelType w:val="hybridMultilevel"/>
    <w:tmpl w:val="4D481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5772AF"/>
    <w:multiLevelType w:val="hybridMultilevel"/>
    <w:tmpl w:val="03C4E1A6"/>
    <w:lvl w:ilvl="0" w:tplc="D2D6E5A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2C3D97"/>
    <w:multiLevelType w:val="hybridMultilevel"/>
    <w:tmpl w:val="F0DA5DF4"/>
    <w:lvl w:ilvl="0" w:tplc="04070003">
      <w:start w:val="1"/>
      <w:numFmt w:val="bullet"/>
      <w:lvlText w:val="o"/>
      <w:lvlJc w:val="left"/>
      <w:pPr>
        <w:ind w:left="1416" w:hanging="360"/>
      </w:pPr>
      <w:rPr>
        <w:rFonts w:ascii="Courier New" w:hAnsi="Courier New" w:cs="Courier New" w:hint="default"/>
      </w:rPr>
    </w:lvl>
    <w:lvl w:ilvl="1" w:tplc="04070003">
      <w:start w:val="1"/>
      <w:numFmt w:val="bullet"/>
      <w:lvlText w:val="o"/>
      <w:lvlJc w:val="left"/>
      <w:pPr>
        <w:ind w:left="2136" w:hanging="360"/>
      </w:pPr>
      <w:rPr>
        <w:rFonts w:ascii="Courier New" w:hAnsi="Courier New" w:cs="Courier New" w:hint="default"/>
      </w:rPr>
    </w:lvl>
    <w:lvl w:ilvl="2" w:tplc="04070005" w:tentative="1">
      <w:start w:val="1"/>
      <w:numFmt w:val="bullet"/>
      <w:lvlText w:val=""/>
      <w:lvlJc w:val="left"/>
      <w:pPr>
        <w:ind w:left="2856" w:hanging="360"/>
      </w:pPr>
      <w:rPr>
        <w:rFonts w:ascii="Wingdings" w:hAnsi="Wingdings" w:hint="default"/>
      </w:rPr>
    </w:lvl>
    <w:lvl w:ilvl="3" w:tplc="04070001" w:tentative="1">
      <w:start w:val="1"/>
      <w:numFmt w:val="bullet"/>
      <w:lvlText w:val=""/>
      <w:lvlJc w:val="left"/>
      <w:pPr>
        <w:ind w:left="3576" w:hanging="360"/>
      </w:pPr>
      <w:rPr>
        <w:rFonts w:ascii="Symbol" w:hAnsi="Symbol" w:hint="default"/>
      </w:rPr>
    </w:lvl>
    <w:lvl w:ilvl="4" w:tplc="04070003" w:tentative="1">
      <w:start w:val="1"/>
      <w:numFmt w:val="bullet"/>
      <w:lvlText w:val="o"/>
      <w:lvlJc w:val="left"/>
      <w:pPr>
        <w:ind w:left="4296" w:hanging="360"/>
      </w:pPr>
      <w:rPr>
        <w:rFonts w:ascii="Courier New" w:hAnsi="Courier New" w:cs="Courier New" w:hint="default"/>
      </w:rPr>
    </w:lvl>
    <w:lvl w:ilvl="5" w:tplc="04070005" w:tentative="1">
      <w:start w:val="1"/>
      <w:numFmt w:val="bullet"/>
      <w:lvlText w:val=""/>
      <w:lvlJc w:val="left"/>
      <w:pPr>
        <w:ind w:left="5016" w:hanging="360"/>
      </w:pPr>
      <w:rPr>
        <w:rFonts w:ascii="Wingdings" w:hAnsi="Wingdings" w:hint="default"/>
      </w:rPr>
    </w:lvl>
    <w:lvl w:ilvl="6" w:tplc="04070001" w:tentative="1">
      <w:start w:val="1"/>
      <w:numFmt w:val="bullet"/>
      <w:lvlText w:val=""/>
      <w:lvlJc w:val="left"/>
      <w:pPr>
        <w:ind w:left="5736" w:hanging="360"/>
      </w:pPr>
      <w:rPr>
        <w:rFonts w:ascii="Symbol" w:hAnsi="Symbol" w:hint="default"/>
      </w:rPr>
    </w:lvl>
    <w:lvl w:ilvl="7" w:tplc="04070003" w:tentative="1">
      <w:start w:val="1"/>
      <w:numFmt w:val="bullet"/>
      <w:lvlText w:val="o"/>
      <w:lvlJc w:val="left"/>
      <w:pPr>
        <w:ind w:left="6456" w:hanging="360"/>
      </w:pPr>
      <w:rPr>
        <w:rFonts w:ascii="Courier New" w:hAnsi="Courier New" w:cs="Courier New" w:hint="default"/>
      </w:rPr>
    </w:lvl>
    <w:lvl w:ilvl="8" w:tplc="04070005" w:tentative="1">
      <w:start w:val="1"/>
      <w:numFmt w:val="bullet"/>
      <w:lvlText w:val=""/>
      <w:lvlJc w:val="left"/>
      <w:pPr>
        <w:ind w:left="7176" w:hanging="360"/>
      </w:pPr>
      <w:rPr>
        <w:rFonts w:ascii="Wingdings" w:hAnsi="Wingdings" w:hint="default"/>
      </w:rPr>
    </w:lvl>
  </w:abstractNum>
  <w:abstractNum w:abstractNumId="19" w15:restartNumberingAfterBreak="0">
    <w:nsid w:val="5CBF60B4"/>
    <w:multiLevelType w:val="hybridMultilevel"/>
    <w:tmpl w:val="2A206A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1DC78D2"/>
    <w:multiLevelType w:val="hybridMultilevel"/>
    <w:tmpl w:val="B740CB54"/>
    <w:lvl w:ilvl="0" w:tplc="04070003">
      <w:start w:val="1"/>
      <w:numFmt w:val="bullet"/>
      <w:lvlText w:val="o"/>
      <w:lvlJc w:val="left"/>
      <w:pPr>
        <w:ind w:left="1416" w:hanging="360"/>
      </w:pPr>
      <w:rPr>
        <w:rFonts w:ascii="Courier New" w:hAnsi="Courier New" w:cs="Courier New" w:hint="default"/>
      </w:rPr>
    </w:lvl>
    <w:lvl w:ilvl="1" w:tplc="04070003">
      <w:start w:val="1"/>
      <w:numFmt w:val="bullet"/>
      <w:lvlText w:val="o"/>
      <w:lvlJc w:val="left"/>
      <w:pPr>
        <w:ind w:left="2136" w:hanging="360"/>
      </w:pPr>
      <w:rPr>
        <w:rFonts w:ascii="Courier New" w:hAnsi="Courier New" w:cs="Courier New" w:hint="default"/>
      </w:rPr>
    </w:lvl>
    <w:lvl w:ilvl="2" w:tplc="04070005" w:tentative="1">
      <w:start w:val="1"/>
      <w:numFmt w:val="bullet"/>
      <w:lvlText w:val=""/>
      <w:lvlJc w:val="left"/>
      <w:pPr>
        <w:ind w:left="2856" w:hanging="360"/>
      </w:pPr>
      <w:rPr>
        <w:rFonts w:ascii="Wingdings" w:hAnsi="Wingdings" w:hint="default"/>
      </w:rPr>
    </w:lvl>
    <w:lvl w:ilvl="3" w:tplc="04070001" w:tentative="1">
      <w:start w:val="1"/>
      <w:numFmt w:val="bullet"/>
      <w:lvlText w:val=""/>
      <w:lvlJc w:val="left"/>
      <w:pPr>
        <w:ind w:left="3576" w:hanging="360"/>
      </w:pPr>
      <w:rPr>
        <w:rFonts w:ascii="Symbol" w:hAnsi="Symbol" w:hint="default"/>
      </w:rPr>
    </w:lvl>
    <w:lvl w:ilvl="4" w:tplc="04070003" w:tentative="1">
      <w:start w:val="1"/>
      <w:numFmt w:val="bullet"/>
      <w:lvlText w:val="o"/>
      <w:lvlJc w:val="left"/>
      <w:pPr>
        <w:ind w:left="4296" w:hanging="360"/>
      </w:pPr>
      <w:rPr>
        <w:rFonts w:ascii="Courier New" w:hAnsi="Courier New" w:cs="Courier New" w:hint="default"/>
      </w:rPr>
    </w:lvl>
    <w:lvl w:ilvl="5" w:tplc="04070005" w:tentative="1">
      <w:start w:val="1"/>
      <w:numFmt w:val="bullet"/>
      <w:lvlText w:val=""/>
      <w:lvlJc w:val="left"/>
      <w:pPr>
        <w:ind w:left="5016" w:hanging="360"/>
      </w:pPr>
      <w:rPr>
        <w:rFonts w:ascii="Wingdings" w:hAnsi="Wingdings" w:hint="default"/>
      </w:rPr>
    </w:lvl>
    <w:lvl w:ilvl="6" w:tplc="04070001" w:tentative="1">
      <w:start w:val="1"/>
      <w:numFmt w:val="bullet"/>
      <w:lvlText w:val=""/>
      <w:lvlJc w:val="left"/>
      <w:pPr>
        <w:ind w:left="5736" w:hanging="360"/>
      </w:pPr>
      <w:rPr>
        <w:rFonts w:ascii="Symbol" w:hAnsi="Symbol" w:hint="default"/>
      </w:rPr>
    </w:lvl>
    <w:lvl w:ilvl="7" w:tplc="04070003" w:tentative="1">
      <w:start w:val="1"/>
      <w:numFmt w:val="bullet"/>
      <w:lvlText w:val="o"/>
      <w:lvlJc w:val="left"/>
      <w:pPr>
        <w:ind w:left="6456" w:hanging="360"/>
      </w:pPr>
      <w:rPr>
        <w:rFonts w:ascii="Courier New" w:hAnsi="Courier New" w:cs="Courier New" w:hint="default"/>
      </w:rPr>
    </w:lvl>
    <w:lvl w:ilvl="8" w:tplc="04070005" w:tentative="1">
      <w:start w:val="1"/>
      <w:numFmt w:val="bullet"/>
      <w:lvlText w:val=""/>
      <w:lvlJc w:val="left"/>
      <w:pPr>
        <w:ind w:left="7176" w:hanging="360"/>
      </w:pPr>
      <w:rPr>
        <w:rFonts w:ascii="Wingdings" w:hAnsi="Wingdings" w:hint="default"/>
      </w:rPr>
    </w:lvl>
  </w:abstractNum>
  <w:abstractNum w:abstractNumId="21" w15:restartNumberingAfterBreak="0">
    <w:nsid w:val="62BB686D"/>
    <w:multiLevelType w:val="hybridMultilevel"/>
    <w:tmpl w:val="E1400DFC"/>
    <w:lvl w:ilvl="0" w:tplc="0407000F">
      <w:start w:val="1"/>
      <w:numFmt w:val="decimal"/>
      <w:lvlText w:val="%1."/>
      <w:lvlJc w:val="left"/>
      <w:pPr>
        <w:tabs>
          <w:tab w:val="num" w:pos="0"/>
        </w:tabs>
        <w:ind w:left="0" w:hanging="360"/>
      </w:pPr>
    </w:lvl>
    <w:lvl w:ilvl="1" w:tplc="04070019" w:tentative="1">
      <w:start w:val="1"/>
      <w:numFmt w:val="lowerLetter"/>
      <w:lvlText w:val="%2."/>
      <w:lvlJc w:val="left"/>
      <w:pPr>
        <w:tabs>
          <w:tab w:val="num" w:pos="720"/>
        </w:tabs>
        <w:ind w:left="720" w:hanging="360"/>
      </w:pPr>
    </w:lvl>
    <w:lvl w:ilvl="2" w:tplc="0407001B" w:tentative="1">
      <w:start w:val="1"/>
      <w:numFmt w:val="lowerRoman"/>
      <w:lvlText w:val="%3."/>
      <w:lvlJc w:val="right"/>
      <w:pPr>
        <w:tabs>
          <w:tab w:val="num" w:pos="1440"/>
        </w:tabs>
        <w:ind w:left="1440" w:hanging="180"/>
      </w:pPr>
    </w:lvl>
    <w:lvl w:ilvl="3" w:tplc="0407000F" w:tentative="1">
      <w:start w:val="1"/>
      <w:numFmt w:val="decimal"/>
      <w:lvlText w:val="%4."/>
      <w:lvlJc w:val="left"/>
      <w:pPr>
        <w:tabs>
          <w:tab w:val="num" w:pos="2160"/>
        </w:tabs>
        <w:ind w:left="2160" w:hanging="360"/>
      </w:pPr>
    </w:lvl>
    <w:lvl w:ilvl="4" w:tplc="04070019" w:tentative="1">
      <w:start w:val="1"/>
      <w:numFmt w:val="lowerLetter"/>
      <w:lvlText w:val="%5."/>
      <w:lvlJc w:val="left"/>
      <w:pPr>
        <w:tabs>
          <w:tab w:val="num" w:pos="2880"/>
        </w:tabs>
        <w:ind w:left="2880" w:hanging="360"/>
      </w:pPr>
    </w:lvl>
    <w:lvl w:ilvl="5" w:tplc="0407001B" w:tentative="1">
      <w:start w:val="1"/>
      <w:numFmt w:val="lowerRoman"/>
      <w:lvlText w:val="%6."/>
      <w:lvlJc w:val="right"/>
      <w:pPr>
        <w:tabs>
          <w:tab w:val="num" w:pos="3600"/>
        </w:tabs>
        <w:ind w:left="3600" w:hanging="180"/>
      </w:pPr>
    </w:lvl>
    <w:lvl w:ilvl="6" w:tplc="0407000F" w:tentative="1">
      <w:start w:val="1"/>
      <w:numFmt w:val="decimal"/>
      <w:lvlText w:val="%7."/>
      <w:lvlJc w:val="left"/>
      <w:pPr>
        <w:tabs>
          <w:tab w:val="num" w:pos="4320"/>
        </w:tabs>
        <w:ind w:left="4320" w:hanging="360"/>
      </w:pPr>
    </w:lvl>
    <w:lvl w:ilvl="7" w:tplc="04070019" w:tentative="1">
      <w:start w:val="1"/>
      <w:numFmt w:val="lowerLetter"/>
      <w:lvlText w:val="%8."/>
      <w:lvlJc w:val="left"/>
      <w:pPr>
        <w:tabs>
          <w:tab w:val="num" w:pos="5040"/>
        </w:tabs>
        <w:ind w:left="5040" w:hanging="360"/>
      </w:pPr>
    </w:lvl>
    <w:lvl w:ilvl="8" w:tplc="0407001B" w:tentative="1">
      <w:start w:val="1"/>
      <w:numFmt w:val="lowerRoman"/>
      <w:lvlText w:val="%9."/>
      <w:lvlJc w:val="right"/>
      <w:pPr>
        <w:tabs>
          <w:tab w:val="num" w:pos="5760"/>
        </w:tabs>
        <w:ind w:left="5760" w:hanging="180"/>
      </w:pPr>
    </w:lvl>
  </w:abstractNum>
  <w:abstractNum w:abstractNumId="22" w15:restartNumberingAfterBreak="0">
    <w:nsid w:val="739F76FB"/>
    <w:multiLevelType w:val="hybridMultilevel"/>
    <w:tmpl w:val="E84C3E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A880A3B"/>
    <w:multiLevelType w:val="hybridMultilevel"/>
    <w:tmpl w:val="581A6018"/>
    <w:lvl w:ilvl="0" w:tplc="0407000F">
      <w:start w:val="1"/>
      <w:numFmt w:val="decimal"/>
      <w:lvlText w:val="%1."/>
      <w:lvlJc w:val="left"/>
      <w:pPr>
        <w:tabs>
          <w:tab w:val="num" w:pos="2484"/>
        </w:tabs>
        <w:ind w:left="2484" w:hanging="360"/>
      </w:pPr>
    </w:lvl>
    <w:lvl w:ilvl="1" w:tplc="04070019" w:tentative="1">
      <w:start w:val="1"/>
      <w:numFmt w:val="lowerLetter"/>
      <w:lvlText w:val="%2."/>
      <w:lvlJc w:val="left"/>
      <w:pPr>
        <w:tabs>
          <w:tab w:val="num" w:pos="3204"/>
        </w:tabs>
        <w:ind w:left="3204" w:hanging="360"/>
      </w:pPr>
    </w:lvl>
    <w:lvl w:ilvl="2" w:tplc="0407001B" w:tentative="1">
      <w:start w:val="1"/>
      <w:numFmt w:val="lowerRoman"/>
      <w:lvlText w:val="%3."/>
      <w:lvlJc w:val="right"/>
      <w:pPr>
        <w:tabs>
          <w:tab w:val="num" w:pos="3924"/>
        </w:tabs>
        <w:ind w:left="3924" w:hanging="180"/>
      </w:pPr>
    </w:lvl>
    <w:lvl w:ilvl="3" w:tplc="0407000F" w:tentative="1">
      <w:start w:val="1"/>
      <w:numFmt w:val="decimal"/>
      <w:lvlText w:val="%4."/>
      <w:lvlJc w:val="left"/>
      <w:pPr>
        <w:tabs>
          <w:tab w:val="num" w:pos="4644"/>
        </w:tabs>
        <w:ind w:left="4644" w:hanging="360"/>
      </w:pPr>
    </w:lvl>
    <w:lvl w:ilvl="4" w:tplc="04070019" w:tentative="1">
      <w:start w:val="1"/>
      <w:numFmt w:val="lowerLetter"/>
      <w:lvlText w:val="%5."/>
      <w:lvlJc w:val="left"/>
      <w:pPr>
        <w:tabs>
          <w:tab w:val="num" w:pos="5364"/>
        </w:tabs>
        <w:ind w:left="5364" w:hanging="360"/>
      </w:pPr>
    </w:lvl>
    <w:lvl w:ilvl="5" w:tplc="0407001B" w:tentative="1">
      <w:start w:val="1"/>
      <w:numFmt w:val="lowerRoman"/>
      <w:lvlText w:val="%6."/>
      <w:lvlJc w:val="right"/>
      <w:pPr>
        <w:tabs>
          <w:tab w:val="num" w:pos="6084"/>
        </w:tabs>
        <w:ind w:left="6084" w:hanging="180"/>
      </w:pPr>
    </w:lvl>
    <w:lvl w:ilvl="6" w:tplc="0407000F" w:tentative="1">
      <w:start w:val="1"/>
      <w:numFmt w:val="decimal"/>
      <w:lvlText w:val="%7."/>
      <w:lvlJc w:val="left"/>
      <w:pPr>
        <w:tabs>
          <w:tab w:val="num" w:pos="6804"/>
        </w:tabs>
        <w:ind w:left="6804" w:hanging="360"/>
      </w:pPr>
    </w:lvl>
    <w:lvl w:ilvl="7" w:tplc="04070019" w:tentative="1">
      <w:start w:val="1"/>
      <w:numFmt w:val="lowerLetter"/>
      <w:lvlText w:val="%8."/>
      <w:lvlJc w:val="left"/>
      <w:pPr>
        <w:tabs>
          <w:tab w:val="num" w:pos="7524"/>
        </w:tabs>
        <w:ind w:left="7524" w:hanging="360"/>
      </w:pPr>
    </w:lvl>
    <w:lvl w:ilvl="8" w:tplc="0407001B" w:tentative="1">
      <w:start w:val="1"/>
      <w:numFmt w:val="lowerRoman"/>
      <w:lvlText w:val="%9."/>
      <w:lvlJc w:val="right"/>
      <w:pPr>
        <w:tabs>
          <w:tab w:val="num" w:pos="8244"/>
        </w:tabs>
        <w:ind w:left="8244" w:hanging="180"/>
      </w:pPr>
    </w:lvl>
  </w:abstractNum>
  <w:num w:numId="1">
    <w:abstractNumId w:val="11"/>
  </w:num>
  <w:num w:numId="2">
    <w:abstractNumId w:val="1"/>
  </w:num>
  <w:num w:numId="3">
    <w:abstractNumId w:val="7"/>
  </w:num>
  <w:num w:numId="4">
    <w:abstractNumId w:val="9"/>
  </w:num>
  <w:num w:numId="5">
    <w:abstractNumId w:val="0"/>
  </w:num>
  <w:num w:numId="6">
    <w:abstractNumId w:val="3"/>
  </w:num>
  <w:num w:numId="7">
    <w:abstractNumId w:val="16"/>
  </w:num>
  <w:num w:numId="8">
    <w:abstractNumId w:val="8"/>
  </w:num>
  <w:num w:numId="9">
    <w:abstractNumId w:val="2"/>
  </w:num>
  <w:num w:numId="10">
    <w:abstractNumId w:val="21"/>
  </w:num>
  <w:num w:numId="11">
    <w:abstractNumId w:val="10"/>
  </w:num>
  <w:num w:numId="12">
    <w:abstractNumId w:val="19"/>
  </w:num>
  <w:num w:numId="13">
    <w:abstractNumId w:val="13"/>
  </w:num>
  <w:num w:numId="14">
    <w:abstractNumId w:val="6"/>
  </w:num>
  <w:num w:numId="15">
    <w:abstractNumId w:val="12"/>
  </w:num>
  <w:num w:numId="16">
    <w:abstractNumId w:val="14"/>
  </w:num>
  <w:num w:numId="17">
    <w:abstractNumId w:val="23"/>
  </w:num>
  <w:num w:numId="18">
    <w:abstractNumId w:val="17"/>
  </w:num>
  <w:num w:numId="19">
    <w:abstractNumId w:val="20"/>
  </w:num>
  <w:num w:numId="20">
    <w:abstractNumId w:val="5"/>
  </w:num>
  <w:num w:numId="21">
    <w:abstractNumId w:val="18"/>
  </w:num>
  <w:num w:numId="22">
    <w:abstractNumId w:val="15"/>
  </w:num>
  <w:num w:numId="23">
    <w:abstractNumId w:val="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B67"/>
    <w:rsid w:val="00013818"/>
    <w:rsid w:val="000173C3"/>
    <w:rsid w:val="000247A0"/>
    <w:rsid w:val="000421A9"/>
    <w:rsid w:val="00046D2F"/>
    <w:rsid w:val="00047CD9"/>
    <w:rsid w:val="000502A2"/>
    <w:rsid w:val="0005479E"/>
    <w:rsid w:val="00066E76"/>
    <w:rsid w:val="00071D4F"/>
    <w:rsid w:val="00077F29"/>
    <w:rsid w:val="000822BE"/>
    <w:rsid w:val="000912F1"/>
    <w:rsid w:val="000919E6"/>
    <w:rsid w:val="00093984"/>
    <w:rsid w:val="000A1FD5"/>
    <w:rsid w:val="000A4BC4"/>
    <w:rsid w:val="000B0FA4"/>
    <w:rsid w:val="000B38CE"/>
    <w:rsid w:val="000B527F"/>
    <w:rsid w:val="000B5E74"/>
    <w:rsid w:val="000C0A8C"/>
    <w:rsid w:val="000C5FDE"/>
    <w:rsid w:val="000C6B79"/>
    <w:rsid w:val="000D28EE"/>
    <w:rsid w:val="000D5504"/>
    <w:rsid w:val="000F55D4"/>
    <w:rsid w:val="0010670C"/>
    <w:rsid w:val="00124CF7"/>
    <w:rsid w:val="00131110"/>
    <w:rsid w:val="001455FC"/>
    <w:rsid w:val="00156664"/>
    <w:rsid w:val="00164F46"/>
    <w:rsid w:val="0016734F"/>
    <w:rsid w:val="00167687"/>
    <w:rsid w:val="0017163D"/>
    <w:rsid w:val="001764F7"/>
    <w:rsid w:val="00176779"/>
    <w:rsid w:val="00182579"/>
    <w:rsid w:val="0019233F"/>
    <w:rsid w:val="0019345C"/>
    <w:rsid w:val="001A38C4"/>
    <w:rsid w:val="001A72F7"/>
    <w:rsid w:val="001B1C96"/>
    <w:rsid w:val="001F0FA8"/>
    <w:rsid w:val="001F7550"/>
    <w:rsid w:val="00202955"/>
    <w:rsid w:val="0020397F"/>
    <w:rsid w:val="002137F6"/>
    <w:rsid w:val="002207C8"/>
    <w:rsid w:val="002217B8"/>
    <w:rsid w:val="00235EF2"/>
    <w:rsid w:val="00237754"/>
    <w:rsid w:val="00255840"/>
    <w:rsid w:val="002642BA"/>
    <w:rsid w:val="00270E46"/>
    <w:rsid w:val="002740B3"/>
    <w:rsid w:val="00276CE1"/>
    <w:rsid w:val="002A346C"/>
    <w:rsid w:val="002A6C4C"/>
    <w:rsid w:val="002B611E"/>
    <w:rsid w:val="002B7FD5"/>
    <w:rsid w:val="002D1511"/>
    <w:rsid w:val="002D63EE"/>
    <w:rsid w:val="002E0E54"/>
    <w:rsid w:val="00300D41"/>
    <w:rsid w:val="00323DBA"/>
    <w:rsid w:val="00326110"/>
    <w:rsid w:val="003337AA"/>
    <w:rsid w:val="00334E2D"/>
    <w:rsid w:val="0034286D"/>
    <w:rsid w:val="003526F4"/>
    <w:rsid w:val="00355B56"/>
    <w:rsid w:val="003573C0"/>
    <w:rsid w:val="003575D0"/>
    <w:rsid w:val="00362FED"/>
    <w:rsid w:val="003676D3"/>
    <w:rsid w:val="003737D2"/>
    <w:rsid w:val="003860C9"/>
    <w:rsid w:val="00394541"/>
    <w:rsid w:val="003A02C6"/>
    <w:rsid w:val="003A4BF5"/>
    <w:rsid w:val="003B7B14"/>
    <w:rsid w:val="003C2EBB"/>
    <w:rsid w:val="003D1099"/>
    <w:rsid w:val="003D4501"/>
    <w:rsid w:val="003D6184"/>
    <w:rsid w:val="003F77EA"/>
    <w:rsid w:val="00401D6E"/>
    <w:rsid w:val="0041352F"/>
    <w:rsid w:val="00424505"/>
    <w:rsid w:val="00435FB7"/>
    <w:rsid w:val="00440FED"/>
    <w:rsid w:val="00443F9C"/>
    <w:rsid w:val="004450FB"/>
    <w:rsid w:val="00453075"/>
    <w:rsid w:val="004553EB"/>
    <w:rsid w:val="00462611"/>
    <w:rsid w:val="00472142"/>
    <w:rsid w:val="004874C3"/>
    <w:rsid w:val="004A050D"/>
    <w:rsid w:val="004B3E64"/>
    <w:rsid w:val="004D564A"/>
    <w:rsid w:val="004E12EA"/>
    <w:rsid w:val="004F0789"/>
    <w:rsid w:val="004F3D91"/>
    <w:rsid w:val="0050339C"/>
    <w:rsid w:val="00510567"/>
    <w:rsid w:val="00515FE8"/>
    <w:rsid w:val="005163DC"/>
    <w:rsid w:val="00516625"/>
    <w:rsid w:val="005246AA"/>
    <w:rsid w:val="00531603"/>
    <w:rsid w:val="005430D1"/>
    <w:rsid w:val="00556404"/>
    <w:rsid w:val="0056270A"/>
    <w:rsid w:val="005635F6"/>
    <w:rsid w:val="00565156"/>
    <w:rsid w:val="00572FFC"/>
    <w:rsid w:val="005B2A3B"/>
    <w:rsid w:val="005C6D09"/>
    <w:rsid w:val="005D78DB"/>
    <w:rsid w:val="005E095A"/>
    <w:rsid w:val="005E7A4E"/>
    <w:rsid w:val="005F0F36"/>
    <w:rsid w:val="005F17F3"/>
    <w:rsid w:val="005F65DB"/>
    <w:rsid w:val="00601BAE"/>
    <w:rsid w:val="006036B9"/>
    <w:rsid w:val="00604738"/>
    <w:rsid w:val="006052B5"/>
    <w:rsid w:val="00620522"/>
    <w:rsid w:val="00621136"/>
    <w:rsid w:val="0062158F"/>
    <w:rsid w:val="0063638B"/>
    <w:rsid w:val="006406F9"/>
    <w:rsid w:val="0067738E"/>
    <w:rsid w:val="006A529D"/>
    <w:rsid w:val="006C0E9C"/>
    <w:rsid w:val="006C1974"/>
    <w:rsid w:val="006D5890"/>
    <w:rsid w:val="006F4126"/>
    <w:rsid w:val="006F54E6"/>
    <w:rsid w:val="006F7E56"/>
    <w:rsid w:val="007034EB"/>
    <w:rsid w:val="00712C4A"/>
    <w:rsid w:val="00714FFF"/>
    <w:rsid w:val="00716B08"/>
    <w:rsid w:val="007259CC"/>
    <w:rsid w:val="00726E91"/>
    <w:rsid w:val="00727882"/>
    <w:rsid w:val="00732ADE"/>
    <w:rsid w:val="0073678F"/>
    <w:rsid w:val="00745DA2"/>
    <w:rsid w:val="00755402"/>
    <w:rsid w:val="007656B3"/>
    <w:rsid w:val="00766A87"/>
    <w:rsid w:val="00780A0F"/>
    <w:rsid w:val="007810EF"/>
    <w:rsid w:val="0079324E"/>
    <w:rsid w:val="007A31BD"/>
    <w:rsid w:val="007B256C"/>
    <w:rsid w:val="007B67C6"/>
    <w:rsid w:val="007B6D2A"/>
    <w:rsid w:val="007C008A"/>
    <w:rsid w:val="007D39EA"/>
    <w:rsid w:val="007E18E5"/>
    <w:rsid w:val="007E4FF7"/>
    <w:rsid w:val="007F0682"/>
    <w:rsid w:val="007F7C1C"/>
    <w:rsid w:val="0080056F"/>
    <w:rsid w:val="008045F8"/>
    <w:rsid w:val="00835B12"/>
    <w:rsid w:val="00841D00"/>
    <w:rsid w:val="0086200A"/>
    <w:rsid w:val="008941BC"/>
    <w:rsid w:val="0089776C"/>
    <w:rsid w:val="00897E31"/>
    <w:rsid w:val="008A5020"/>
    <w:rsid w:val="008A65FB"/>
    <w:rsid w:val="008B1A9A"/>
    <w:rsid w:val="008B7186"/>
    <w:rsid w:val="008C375E"/>
    <w:rsid w:val="008C7C0E"/>
    <w:rsid w:val="008D597A"/>
    <w:rsid w:val="008D6D64"/>
    <w:rsid w:val="008F23E4"/>
    <w:rsid w:val="009113E6"/>
    <w:rsid w:val="00920634"/>
    <w:rsid w:val="00922EB9"/>
    <w:rsid w:val="009267D4"/>
    <w:rsid w:val="00932965"/>
    <w:rsid w:val="00933207"/>
    <w:rsid w:val="00941A82"/>
    <w:rsid w:val="009428CD"/>
    <w:rsid w:val="00942E41"/>
    <w:rsid w:val="00943317"/>
    <w:rsid w:val="00944492"/>
    <w:rsid w:val="009770EA"/>
    <w:rsid w:val="00980D81"/>
    <w:rsid w:val="00984E2D"/>
    <w:rsid w:val="0098785B"/>
    <w:rsid w:val="0099088D"/>
    <w:rsid w:val="009B3170"/>
    <w:rsid w:val="009B33BF"/>
    <w:rsid w:val="009B34F1"/>
    <w:rsid w:val="009C0679"/>
    <w:rsid w:val="009C6789"/>
    <w:rsid w:val="009D0333"/>
    <w:rsid w:val="009E026F"/>
    <w:rsid w:val="009E05AB"/>
    <w:rsid w:val="009E2F97"/>
    <w:rsid w:val="009E374E"/>
    <w:rsid w:val="009E3F4D"/>
    <w:rsid w:val="009F636C"/>
    <w:rsid w:val="00A00B17"/>
    <w:rsid w:val="00A029B5"/>
    <w:rsid w:val="00A05203"/>
    <w:rsid w:val="00A12B44"/>
    <w:rsid w:val="00A13E5F"/>
    <w:rsid w:val="00A25F58"/>
    <w:rsid w:val="00A35A8E"/>
    <w:rsid w:val="00A4299B"/>
    <w:rsid w:val="00A45479"/>
    <w:rsid w:val="00A5340D"/>
    <w:rsid w:val="00A71C06"/>
    <w:rsid w:val="00A74702"/>
    <w:rsid w:val="00A756EE"/>
    <w:rsid w:val="00A77E47"/>
    <w:rsid w:val="00A80161"/>
    <w:rsid w:val="00A95A73"/>
    <w:rsid w:val="00A96870"/>
    <w:rsid w:val="00AA1E8B"/>
    <w:rsid w:val="00AA3086"/>
    <w:rsid w:val="00AB4EAB"/>
    <w:rsid w:val="00AC6B01"/>
    <w:rsid w:val="00AC7FB0"/>
    <w:rsid w:val="00AD7D95"/>
    <w:rsid w:val="00AE0640"/>
    <w:rsid w:val="00AE228A"/>
    <w:rsid w:val="00AF7EE4"/>
    <w:rsid w:val="00B06765"/>
    <w:rsid w:val="00B07534"/>
    <w:rsid w:val="00B07C51"/>
    <w:rsid w:val="00B175FE"/>
    <w:rsid w:val="00B2077F"/>
    <w:rsid w:val="00B2236E"/>
    <w:rsid w:val="00B2774C"/>
    <w:rsid w:val="00B30DB5"/>
    <w:rsid w:val="00B32F6A"/>
    <w:rsid w:val="00B35370"/>
    <w:rsid w:val="00B42695"/>
    <w:rsid w:val="00B52B9C"/>
    <w:rsid w:val="00B543CE"/>
    <w:rsid w:val="00B61802"/>
    <w:rsid w:val="00B62247"/>
    <w:rsid w:val="00B66994"/>
    <w:rsid w:val="00B733BC"/>
    <w:rsid w:val="00B91294"/>
    <w:rsid w:val="00B93C26"/>
    <w:rsid w:val="00BA31FB"/>
    <w:rsid w:val="00BD4B60"/>
    <w:rsid w:val="00BE69FE"/>
    <w:rsid w:val="00C02FB5"/>
    <w:rsid w:val="00C1147F"/>
    <w:rsid w:val="00C14102"/>
    <w:rsid w:val="00C15AE6"/>
    <w:rsid w:val="00C33DF9"/>
    <w:rsid w:val="00C45BE4"/>
    <w:rsid w:val="00C70309"/>
    <w:rsid w:val="00C7172C"/>
    <w:rsid w:val="00C77810"/>
    <w:rsid w:val="00C9128A"/>
    <w:rsid w:val="00C96812"/>
    <w:rsid w:val="00C97375"/>
    <w:rsid w:val="00CC0115"/>
    <w:rsid w:val="00CC0D4B"/>
    <w:rsid w:val="00CC19A7"/>
    <w:rsid w:val="00CC216F"/>
    <w:rsid w:val="00CC2E79"/>
    <w:rsid w:val="00CC3FCE"/>
    <w:rsid w:val="00CC6EE3"/>
    <w:rsid w:val="00CD2990"/>
    <w:rsid w:val="00CD2C22"/>
    <w:rsid w:val="00CD5BE2"/>
    <w:rsid w:val="00CD6F8E"/>
    <w:rsid w:val="00CE3BCC"/>
    <w:rsid w:val="00CF5858"/>
    <w:rsid w:val="00CF59AC"/>
    <w:rsid w:val="00D15D83"/>
    <w:rsid w:val="00D44AEF"/>
    <w:rsid w:val="00D531FC"/>
    <w:rsid w:val="00D556A7"/>
    <w:rsid w:val="00D60857"/>
    <w:rsid w:val="00D71424"/>
    <w:rsid w:val="00D80BEF"/>
    <w:rsid w:val="00D94679"/>
    <w:rsid w:val="00D954D9"/>
    <w:rsid w:val="00D958E2"/>
    <w:rsid w:val="00DB7909"/>
    <w:rsid w:val="00DC106C"/>
    <w:rsid w:val="00DC29A3"/>
    <w:rsid w:val="00DD080B"/>
    <w:rsid w:val="00DD1F46"/>
    <w:rsid w:val="00DD3E2F"/>
    <w:rsid w:val="00DD6101"/>
    <w:rsid w:val="00DE5191"/>
    <w:rsid w:val="00DF7D64"/>
    <w:rsid w:val="00E022AC"/>
    <w:rsid w:val="00E047EC"/>
    <w:rsid w:val="00E25DB8"/>
    <w:rsid w:val="00E3259B"/>
    <w:rsid w:val="00E3434F"/>
    <w:rsid w:val="00E43FDB"/>
    <w:rsid w:val="00E63D0A"/>
    <w:rsid w:val="00E66428"/>
    <w:rsid w:val="00E70C9F"/>
    <w:rsid w:val="00E71162"/>
    <w:rsid w:val="00E737D5"/>
    <w:rsid w:val="00E73B8E"/>
    <w:rsid w:val="00E74F22"/>
    <w:rsid w:val="00E750BB"/>
    <w:rsid w:val="00E824B9"/>
    <w:rsid w:val="00E83E44"/>
    <w:rsid w:val="00EB4B67"/>
    <w:rsid w:val="00EC658F"/>
    <w:rsid w:val="00ED193F"/>
    <w:rsid w:val="00ED21D5"/>
    <w:rsid w:val="00ED6A5F"/>
    <w:rsid w:val="00EF4841"/>
    <w:rsid w:val="00F026E3"/>
    <w:rsid w:val="00F10CB4"/>
    <w:rsid w:val="00F12106"/>
    <w:rsid w:val="00F12F2E"/>
    <w:rsid w:val="00F13347"/>
    <w:rsid w:val="00F13954"/>
    <w:rsid w:val="00F33E13"/>
    <w:rsid w:val="00F42FEC"/>
    <w:rsid w:val="00F51FB2"/>
    <w:rsid w:val="00F709FD"/>
    <w:rsid w:val="00F71626"/>
    <w:rsid w:val="00F914DC"/>
    <w:rsid w:val="00F917EA"/>
    <w:rsid w:val="00FA0CD2"/>
    <w:rsid w:val="00FA40AD"/>
    <w:rsid w:val="00FA722F"/>
    <w:rsid w:val="00FB00A3"/>
    <w:rsid w:val="00FB5B28"/>
    <w:rsid w:val="00FC7987"/>
    <w:rsid w:val="00FE0A3F"/>
    <w:rsid w:val="00FE5EB0"/>
    <w:rsid w:val="00FF5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0C531C-02DF-4DCD-8259-94A609B9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2"/>
      <w:lang w:eastAsia="en-US"/>
    </w:rPr>
  </w:style>
  <w:style w:type="paragraph" w:styleId="berschrift1">
    <w:name w:val="heading 1"/>
    <w:basedOn w:val="Standard"/>
    <w:next w:val="Standard"/>
    <w:link w:val="berschrift1Zchn"/>
    <w:qFormat/>
    <w:rsid w:val="00AA3086"/>
    <w:pPr>
      <w:keepNext/>
      <w:spacing w:line="360" w:lineRule="auto"/>
      <w:jc w:val="both"/>
      <w:outlineLvl w:val="0"/>
    </w:pPr>
    <w:rPr>
      <w:rFonts w:eastAsia="Times New Roman"/>
      <w:b/>
      <w:bCs/>
      <w:szCs w:val="24"/>
      <w:lang w:eastAsia="de-DE"/>
    </w:rPr>
  </w:style>
  <w:style w:type="paragraph" w:styleId="berschrift3">
    <w:name w:val="heading 3"/>
    <w:basedOn w:val="Standard"/>
    <w:next w:val="Standard"/>
    <w:link w:val="berschrift3Zchn"/>
    <w:qFormat/>
    <w:rsid w:val="00AA3086"/>
    <w:pPr>
      <w:keepNext/>
      <w:ind w:left="2124"/>
      <w:jc w:val="both"/>
      <w:outlineLvl w:val="2"/>
    </w:pPr>
    <w:rPr>
      <w:rFonts w:eastAsia="Times New Roman"/>
      <w:b/>
      <w:bCs/>
      <w:sz w:val="23"/>
      <w:szCs w:val="24"/>
      <w:lang w:eastAsia="de-DE"/>
    </w:rPr>
  </w:style>
  <w:style w:type="paragraph" w:styleId="berschrift4">
    <w:name w:val="heading 4"/>
    <w:basedOn w:val="Standard"/>
    <w:next w:val="Standard"/>
    <w:link w:val="berschrift4Zchn"/>
    <w:qFormat/>
    <w:rsid w:val="00AA3086"/>
    <w:pPr>
      <w:keepNext/>
      <w:ind w:left="2124"/>
      <w:jc w:val="both"/>
      <w:outlineLvl w:val="3"/>
    </w:pPr>
    <w:rPr>
      <w:rFonts w:eastAsia="Times New Roman"/>
      <w:b/>
      <w:bCs/>
      <w:szCs w:val="24"/>
      <w:lang w:eastAsia="de-DE"/>
    </w:rPr>
  </w:style>
  <w:style w:type="paragraph" w:styleId="berschrift6">
    <w:name w:val="heading 6"/>
    <w:basedOn w:val="Standard"/>
    <w:next w:val="Standard"/>
    <w:link w:val="berschrift6Zchn"/>
    <w:qFormat/>
    <w:rsid w:val="00AA3086"/>
    <w:pPr>
      <w:keepNext/>
      <w:ind w:left="2124"/>
      <w:jc w:val="both"/>
      <w:outlineLvl w:val="5"/>
    </w:pPr>
    <w:rPr>
      <w:rFonts w:eastAsia="Times New Roman"/>
      <w:b/>
      <w:bCs/>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B4B67"/>
    <w:pPr>
      <w:spacing w:before="100" w:beforeAutospacing="1" w:after="100" w:afterAutospacing="1"/>
    </w:pPr>
    <w:rPr>
      <w:rFonts w:eastAsia="Times New Roman"/>
      <w:szCs w:val="24"/>
      <w:lang w:eastAsia="de-DE"/>
    </w:rPr>
  </w:style>
  <w:style w:type="paragraph" w:styleId="Listenabsatz">
    <w:name w:val="List Paragraph"/>
    <w:basedOn w:val="Standard"/>
    <w:uiPriority w:val="34"/>
    <w:qFormat/>
    <w:rsid w:val="00DD080B"/>
    <w:pPr>
      <w:ind w:left="720"/>
      <w:contextualSpacing/>
    </w:pPr>
  </w:style>
  <w:style w:type="paragraph" w:styleId="Kopfzeile">
    <w:name w:val="header"/>
    <w:basedOn w:val="Standard"/>
    <w:link w:val="KopfzeileZchn"/>
    <w:uiPriority w:val="99"/>
    <w:unhideWhenUsed/>
    <w:rsid w:val="00F13954"/>
    <w:pPr>
      <w:tabs>
        <w:tab w:val="center" w:pos="4536"/>
        <w:tab w:val="right" w:pos="9072"/>
      </w:tabs>
    </w:pPr>
  </w:style>
  <w:style w:type="character" w:customStyle="1" w:styleId="KopfzeileZchn">
    <w:name w:val="Kopfzeile Zchn"/>
    <w:basedOn w:val="Absatz-Standardschriftart"/>
    <w:link w:val="Kopfzeile"/>
    <w:uiPriority w:val="99"/>
    <w:rsid w:val="00F13954"/>
  </w:style>
  <w:style w:type="paragraph" w:styleId="Fuzeile">
    <w:name w:val="footer"/>
    <w:basedOn w:val="Standard"/>
    <w:link w:val="FuzeileZchn"/>
    <w:unhideWhenUsed/>
    <w:rsid w:val="00F13954"/>
    <w:pPr>
      <w:tabs>
        <w:tab w:val="center" w:pos="4536"/>
        <w:tab w:val="right" w:pos="9072"/>
      </w:tabs>
    </w:pPr>
  </w:style>
  <w:style w:type="character" w:customStyle="1" w:styleId="FuzeileZchn">
    <w:name w:val="Fußzeile Zchn"/>
    <w:basedOn w:val="Absatz-Standardschriftart"/>
    <w:link w:val="Fuzeile"/>
    <w:uiPriority w:val="99"/>
    <w:rsid w:val="00F13954"/>
  </w:style>
  <w:style w:type="paragraph" w:styleId="Sprechblasentext">
    <w:name w:val="Balloon Text"/>
    <w:basedOn w:val="Standard"/>
    <w:link w:val="SprechblasentextZchn"/>
    <w:uiPriority w:val="99"/>
    <w:semiHidden/>
    <w:unhideWhenUsed/>
    <w:rsid w:val="00E022AC"/>
    <w:rPr>
      <w:rFonts w:ascii="Segoe UI" w:hAnsi="Segoe UI" w:cs="Segoe UI"/>
      <w:sz w:val="18"/>
      <w:szCs w:val="18"/>
    </w:rPr>
  </w:style>
  <w:style w:type="character" w:customStyle="1" w:styleId="SprechblasentextZchn">
    <w:name w:val="Sprechblasentext Zchn"/>
    <w:link w:val="Sprechblasentext"/>
    <w:uiPriority w:val="99"/>
    <w:semiHidden/>
    <w:rsid w:val="00E022AC"/>
    <w:rPr>
      <w:rFonts w:ascii="Segoe UI" w:hAnsi="Segoe UI" w:cs="Segoe UI"/>
      <w:sz w:val="18"/>
      <w:szCs w:val="18"/>
    </w:rPr>
  </w:style>
  <w:style w:type="character" w:styleId="Hyperlink">
    <w:name w:val="Hyperlink"/>
    <w:uiPriority w:val="99"/>
    <w:unhideWhenUsed/>
    <w:rsid w:val="005E095A"/>
    <w:rPr>
      <w:color w:val="0563C1"/>
      <w:u w:val="single"/>
    </w:rPr>
  </w:style>
  <w:style w:type="paragraph" w:styleId="Textkrper-Zeileneinzug">
    <w:name w:val="Body Text Indent"/>
    <w:basedOn w:val="Standard"/>
    <w:link w:val="Textkrper-ZeileneinzugZchn"/>
    <w:semiHidden/>
    <w:rsid w:val="003337AA"/>
    <w:pPr>
      <w:ind w:left="720"/>
      <w:jc w:val="both"/>
    </w:pPr>
    <w:rPr>
      <w:rFonts w:eastAsia="Times New Roman"/>
      <w:szCs w:val="24"/>
      <w:lang w:eastAsia="de-DE"/>
    </w:rPr>
  </w:style>
  <w:style w:type="character" w:customStyle="1" w:styleId="Textkrper-ZeileneinzugZchn">
    <w:name w:val="Textkörper-Zeileneinzug Zchn"/>
    <w:link w:val="Textkrper-Zeileneinzug"/>
    <w:semiHidden/>
    <w:rsid w:val="003337AA"/>
    <w:rPr>
      <w:rFonts w:eastAsia="Times New Roman" w:cs="Times New Roman"/>
      <w:szCs w:val="24"/>
      <w:lang w:eastAsia="de-DE"/>
    </w:rPr>
  </w:style>
  <w:style w:type="character" w:styleId="Fett">
    <w:name w:val="Strong"/>
    <w:qFormat/>
    <w:rsid w:val="003337AA"/>
    <w:rPr>
      <w:b/>
      <w:bCs/>
    </w:rPr>
  </w:style>
  <w:style w:type="paragraph" w:styleId="Textkrper-Einzug2">
    <w:name w:val="Body Text Indent 2"/>
    <w:basedOn w:val="Standard"/>
    <w:link w:val="Textkrper-Einzug2Zchn"/>
    <w:semiHidden/>
    <w:rsid w:val="003337AA"/>
    <w:pPr>
      <w:ind w:left="2124"/>
      <w:jc w:val="both"/>
    </w:pPr>
    <w:rPr>
      <w:rFonts w:eastAsia="Times New Roman"/>
      <w:szCs w:val="24"/>
      <w:lang w:eastAsia="de-DE"/>
    </w:rPr>
  </w:style>
  <w:style w:type="character" w:customStyle="1" w:styleId="Textkrper-Einzug2Zchn">
    <w:name w:val="Textkörper-Einzug 2 Zchn"/>
    <w:link w:val="Textkrper-Einzug2"/>
    <w:semiHidden/>
    <w:rsid w:val="003337AA"/>
    <w:rPr>
      <w:rFonts w:eastAsia="Times New Roman" w:cs="Times New Roman"/>
      <w:szCs w:val="24"/>
      <w:lang w:eastAsia="de-DE"/>
    </w:rPr>
  </w:style>
  <w:style w:type="paragraph" w:styleId="Textkrper2">
    <w:name w:val="Body Text 2"/>
    <w:basedOn w:val="Standard"/>
    <w:link w:val="Textkrper2Zchn"/>
    <w:uiPriority w:val="99"/>
    <w:semiHidden/>
    <w:unhideWhenUsed/>
    <w:rsid w:val="00A80161"/>
    <w:pPr>
      <w:spacing w:after="120" w:line="480" w:lineRule="auto"/>
    </w:pPr>
  </w:style>
  <w:style w:type="character" w:customStyle="1" w:styleId="Textkrper2Zchn">
    <w:name w:val="Textkörper 2 Zchn"/>
    <w:basedOn w:val="Absatz-Standardschriftart"/>
    <w:link w:val="Textkrper2"/>
    <w:uiPriority w:val="99"/>
    <w:semiHidden/>
    <w:rsid w:val="00A80161"/>
  </w:style>
  <w:style w:type="paragraph" w:styleId="Textkrper">
    <w:name w:val="Body Text"/>
    <w:basedOn w:val="Standard"/>
    <w:link w:val="TextkrperZchn"/>
    <w:uiPriority w:val="99"/>
    <w:semiHidden/>
    <w:unhideWhenUsed/>
    <w:rsid w:val="00601BAE"/>
    <w:pPr>
      <w:spacing w:after="120"/>
    </w:pPr>
  </w:style>
  <w:style w:type="character" w:customStyle="1" w:styleId="TextkrperZchn">
    <w:name w:val="Textkörper Zchn"/>
    <w:basedOn w:val="Absatz-Standardschriftart"/>
    <w:link w:val="Textkrper"/>
    <w:uiPriority w:val="99"/>
    <w:semiHidden/>
    <w:rsid w:val="00601BAE"/>
  </w:style>
  <w:style w:type="paragraph" w:styleId="Textkrper3">
    <w:name w:val="Body Text 3"/>
    <w:basedOn w:val="Standard"/>
    <w:link w:val="Textkrper3Zchn"/>
    <w:uiPriority w:val="99"/>
    <w:semiHidden/>
    <w:unhideWhenUsed/>
    <w:rsid w:val="007D39EA"/>
    <w:pPr>
      <w:spacing w:after="120"/>
    </w:pPr>
    <w:rPr>
      <w:rFonts w:eastAsia="Times New Roman"/>
      <w:sz w:val="16"/>
      <w:szCs w:val="16"/>
      <w:lang w:eastAsia="de-DE"/>
    </w:rPr>
  </w:style>
  <w:style w:type="character" w:customStyle="1" w:styleId="Textkrper3Zchn">
    <w:name w:val="Textkörper 3 Zchn"/>
    <w:link w:val="Textkrper3"/>
    <w:uiPriority w:val="99"/>
    <w:semiHidden/>
    <w:rsid w:val="007D39EA"/>
    <w:rPr>
      <w:rFonts w:eastAsia="Times New Roman" w:cs="Times New Roman"/>
      <w:sz w:val="16"/>
      <w:szCs w:val="16"/>
      <w:lang w:eastAsia="de-DE"/>
    </w:rPr>
  </w:style>
  <w:style w:type="paragraph" w:styleId="Textkrper-Einzug3">
    <w:name w:val="Body Text Indent 3"/>
    <w:basedOn w:val="Standard"/>
    <w:link w:val="Textkrper-Einzug3Zchn"/>
    <w:uiPriority w:val="99"/>
    <w:semiHidden/>
    <w:unhideWhenUsed/>
    <w:rsid w:val="00ED193F"/>
    <w:pPr>
      <w:spacing w:after="120"/>
      <w:ind w:left="283"/>
    </w:pPr>
    <w:rPr>
      <w:sz w:val="16"/>
      <w:szCs w:val="16"/>
    </w:rPr>
  </w:style>
  <w:style w:type="character" w:customStyle="1" w:styleId="Textkrper-Einzug3Zchn">
    <w:name w:val="Textkörper-Einzug 3 Zchn"/>
    <w:link w:val="Textkrper-Einzug3"/>
    <w:uiPriority w:val="99"/>
    <w:semiHidden/>
    <w:rsid w:val="00ED193F"/>
    <w:rPr>
      <w:sz w:val="16"/>
      <w:szCs w:val="16"/>
    </w:rPr>
  </w:style>
  <w:style w:type="character" w:customStyle="1" w:styleId="berschrift1Zchn">
    <w:name w:val="Überschrift 1 Zchn"/>
    <w:link w:val="berschrift1"/>
    <w:rsid w:val="00AA3086"/>
    <w:rPr>
      <w:rFonts w:eastAsia="Times New Roman" w:cs="Times New Roman"/>
      <w:b/>
      <w:bCs/>
      <w:szCs w:val="24"/>
      <w:lang w:eastAsia="de-DE"/>
    </w:rPr>
  </w:style>
  <w:style w:type="character" w:customStyle="1" w:styleId="berschrift3Zchn">
    <w:name w:val="Überschrift 3 Zchn"/>
    <w:link w:val="berschrift3"/>
    <w:rsid w:val="00AA3086"/>
    <w:rPr>
      <w:rFonts w:eastAsia="Times New Roman" w:cs="Times New Roman"/>
      <w:b/>
      <w:bCs/>
      <w:sz w:val="23"/>
      <w:szCs w:val="24"/>
      <w:lang w:eastAsia="de-DE"/>
    </w:rPr>
  </w:style>
  <w:style w:type="character" w:customStyle="1" w:styleId="berschrift4Zchn">
    <w:name w:val="Überschrift 4 Zchn"/>
    <w:link w:val="berschrift4"/>
    <w:rsid w:val="00AA3086"/>
    <w:rPr>
      <w:rFonts w:eastAsia="Times New Roman" w:cs="Times New Roman"/>
      <w:b/>
      <w:bCs/>
      <w:szCs w:val="24"/>
      <w:lang w:eastAsia="de-DE"/>
    </w:rPr>
  </w:style>
  <w:style w:type="character" w:customStyle="1" w:styleId="berschrift6Zchn">
    <w:name w:val="Überschrift 6 Zchn"/>
    <w:link w:val="berschrift6"/>
    <w:rsid w:val="00AA3086"/>
    <w:rPr>
      <w:rFonts w:eastAsia="Times New Roman" w:cs="Times New Roman"/>
      <w:b/>
      <w:bCs/>
      <w:szCs w:val="24"/>
      <w:u w:val="single"/>
      <w:lang w:eastAsia="de-DE"/>
    </w:rPr>
  </w:style>
  <w:style w:type="character" w:styleId="Seitenzahl">
    <w:name w:val="page number"/>
    <w:basedOn w:val="Absatz-Standardschriftart"/>
    <w:semiHidden/>
    <w:rsid w:val="00AA3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67360">
      <w:bodyDiv w:val="1"/>
      <w:marLeft w:val="0"/>
      <w:marRight w:val="0"/>
      <w:marTop w:val="0"/>
      <w:marBottom w:val="0"/>
      <w:divBdr>
        <w:top w:val="none" w:sz="0" w:space="0" w:color="auto"/>
        <w:left w:val="none" w:sz="0" w:space="0" w:color="auto"/>
        <w:bottom w:val="none" w:sz="0" w:space="0" w:color="auto"/>
        <w:right w:val="none" w:sz="0" w:space="0" w:color="auto"/>
      </w:divBdr>
      <w:divsChild>
        <w:div w:id="276330092">
          <w:marLeft w:val="0"/>
          <w:marRight w:val="0"/>
          <w:marTop w:val="0"/>
          <w:marBottom w:val="0"/>
          <w:divBdr>
            <w:top w:val="none" w:sz="0" w:space="0" w:color="auto"/>
            <w:left w:val="none" w:sz="0" w:space="0" w:color="auto"/>
            <w:bottom w:val="none" w:sz="0" w:space="0" w:color="auto"/>
            <w:right w:val="none" w:sz="0" w:space="0" w:color="auto"/>
          </w:divBdr>
          <w:divsChild>
            <w:div w:id="375811280">
              <w:marLeft w:val="0"/>
              <w:marRight w:val="0"/>
              <w:marTop w:val="0"/>
              <w:marBottom w:val="0"/>
              <w:divBdr>
                <w:top w:val="none" w:sz="0" w:space="0" w:color="auto"/>
                <w:left w:val="none" w:sz="0" w:space="0" w:color="auto"/>
                <w:bottom w:val="none" w:sz="0" w:space="0" w:color="auto"/>
                <w:right w:val="none" w:sz="0" w:space="0" w:color="auto"/>
              </w:divBdr>
              <w:divsChild>
                <w:div w:id="1407529214">
                  <w:marLeft w:val="0"/>
                  <w:marRight w:val="0"/>
                  <w:marTop w:val="0"/>
                  <w:marBottom w:val="0"/>
                  <w:divBdr>
                    <w:top w:val="none" w:sz="0" w:space="0" w:color="auto"/>
                    <w:left w:val="none" w:sz="0" w:space="0" w:color="auto"/>
                    <w:bottom w:val="none" w:sz="0" w:space="0" w:color="auto"/>
                    <w:right w:val="none" w:sz="0" w:space="0" w:color="auto"/>
                  </w:divBdr>
                  <w:divsChild>
                    <w:div w:id="1980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0143">
          <w:marLeft w:val="0"/>
          <w:marRight w:val="0"/>
          <w:marTop w:val="0"/>
          <w:marBottom w:val="0"/>
          <w:divBdr>
            <w:top w:val="none" w:sz="0" w:space="0" w:color="auto"/>
            <w:left w:val="none" w:sz="0" w:space="0" w:color="auto"/>
            <w:bottom w:val="none" w:sz="0" w:space="0" w:color="auto"/>
            <w:right w:val="none" w:sz="0" w:space="0" w:color="auto"/>
          </w:divBdr>
        </w:div>
      </w:divsChild>
    </w:div>
    <w:div w:id="1455295811">
      <w:bodyDiv w:val="1"/>
      <w:marLeft w:val="0"/>
      <w:marRight w:val="0"/>
      <w:marTop w:val="0"/>
      <w:marBottom w:val="0"/>
      <w:divBdr>
        <w:top w:val="none" w:sz="0" w:space="0" w:color="auto"/>
        <w:left w:val="none" w:sz="0" w:space="0" w:color="auto"/>
        <w:bottom w:val="none" w:sz="0" w:space="0" w:color="auto"/>
        <w:right w:val="none" w:sz="0" w:space="0" w:color="auto"/>
      </w:divBdr>
      <w:divsChild>
        <w:div w:id="144472864">
          <w:marLeft w:val="0"/>
          <w:marRight w:val="0"/>
          <w:marTop w:val="0"/>
          <w:marBottom w:val="0"/>
          <w:divBdr>
            <w:top w:val="none" w:sz="0" w:space="0" w:color="auto"/>
            <w:left w:val="none" w:sz="0" w:space="0" w:color="auto"/>
            <w:bottom w:val="none" w:sz="0" w:space="0" w:color="auto"/>
            <w:right w:val="none" w:sz="0" w:space="0" w:color="auto"/>
          </w:divBdr>
        </w:div>
        <w:div w:id="245963474">
          <w:marLeft w:val="0"/>
          <w:marRight w:val="0"/>
          <w:marTop w:val="0"/>
          <w:marBottom w:val="0"/>
          <w:divBdr>
            <w:top w:val="none" w:sz="0" w:space="0" w:color="auto"/>
            <w:left w:val="none" w:sz="0" w:space="0" w:color="auto"/>
            <w:bottom w:val="none" w:sz="0" w:space="0" w:color="auto"/>
            <w:right w:val="none" w:sz="0" w:space="0" w:color="auto"/>
          </w:divBdr>
        </w:div>
        <w:div w:id="453450677">
          <w:marLeft w:val="0"/>
          <w:marRight w:val="0"/>
          <w:marTop w:val="0"/>
          <w:marBottom w:val="0"/>
          <w:divBdr>
            <w:top w:val="none" w:sz="0" w:space="0" w:color="auto"/>
            <w:left w:val="none" w:sz="0" w:space="0" w:color="auto"/>
            <w:bottom w:val="none" w:sz="0" w:space="0" w:color="auto"/>
            <w:right w:val="none" w:sz="0" w:space="0" w:color="auto"/>
          </w:divBdr>
        </w:div>
        <w:div w:id="527840443">
          <w:marLeft w:val="0"/>
          <w:marRight w:val="0"/>
          <w:marTop w:val="0"/>
          <w:marBottom w:val="0"/>
          <w:divBdr>
            <w:top w:val="none" w:sz="0" w:space="0" w:color="auto"/>
            <w:left w:val="none" w:sz="0" w:space="0" w:color="auto"/>
            <w:bottom w:val="none" w:sz="0" w:space="0" w:color="auto"/>
            <w:right w:val="none" w:sz="0" w:space="0" w:color="auto"/>
          </w:divBdr>
        </w:div>
        <w:div w:id="662586504">
          <w:marLeft w:val="0"/>
          <w:marRight w:val="0"/>
          <w:marTop w:val="0"/>
          <w:marBottom w:val="0"/>
          <w:divBdr>
            <w:top w:val="none" w:sz="0" w:space="0" w:color="auto"/>
            <w:left w:val="none" w:sz="0" w:space="0" w:color="auto"/>
            <w:bottom w:val="none" w:sz="0" w:space="0" w:color="auto"/>
            <w:right w:val="none" w:sz="0" w:space="0" w:color="auto"/>
          </w:divBdr>
        </w:div>
        <w:div w:id="2038039631">
          <w:marLeft w:val="0"/>
          <w:marRight w:val="0"/>
          <w:marTop w:val="0"/>
          <w:marBottom w:val="0"/>
          <w:divBdr>
            <w:top w:val="none" w:sz="0" w:space="0" w:color="auto"/>
            <w:left w:val="none" w:sz="0" w:space="0" w:color="auto"/>
            <w:bottom w:val="none" w:sz="0" w:space="0" w:color="auto"/>
            <w:right w:val="none" w:sz="0" w:space="0" w:color="auto"/>
          </w:divBdr>
        </w:div>
      </w:divsChild>
    </w:div>
    <w:div w:id="1789620093">
      <w:bodyDiv w:val="1"/>
      <w:marLeft w:val="0"/>
      <w:marRight w:val="0"/>
      <w:marTop w:val="0"/>
      <w:marBottom w:val="0"/>
      <w:divBdr>
        <w:top w:val="none" w:sz="0" w:space="0" w:color="auto"/>
        <w:left w:val="none" w:sz="0" w:space="0" w:color="auto"/>
        <w:bottom w:val="none" w:sz="0" w:space="0" w:color="auto"/>
        <w:right w:val="none" w:sz="0" w:space="0" w:color="auto"/>
      </w:divBdr>
      <w:divsChild>
        <w:div w:id="425350239">
          <w:marLeft w:val="0"/>
          <w:marRight w:val="0"/>
          <w:marTop w:val="0"/>
          <w:marBottom w:val="0"/>
          <w:divBdr>
            <w:top w:val="none" w:sz="0" w:space="0" w:color="auto"/>
            <w:left w:val="none" w:sz="0" w:space="0" w:color="auto"/>
            <w:bottom w:val="none" w:sz="0" w:space="0" w:color="auto"/>
            <w:right w:val="none" w:sz="0" w:space="0" w:color="auto"/>
          </w:divBdr>
          <w:divsChild>
            <w:div w:id="969166841">
              <w:marLeft w:val="0"/>
              <w:marRight w:val="0"/>
              <w:marTop w:val="0"/>
              <w:marBottom w:val="0"/>
              <w:divBdr>
                <w:top w:val="none" w:sz="0" w:space="0" w:color="auto"/>
                <w:left w:val="none" w:sz="0" w:space="0" w:color="auto"/>
                <w:bottom w:val="none" w:sz="0" w:space="0" w:color="auto"/>
                <w:right w:val="none" w:sz="0" w:space="0" w:color="auto"/>
              </w:divBdr>
              <w:divsChild>
                <w:div w:id="1839420116">
                  <w:marLeft w:val="0"/>
                  <w:marRight w:val="0"/>
                  <w:marTop w:val="0"/>
                  <w:marBottom w:val="0"/>
                  <w:divBdr>
                    <w:top w:val="none" w:sz="0" w:space="0" w:color="auto"/>
                    <w:left w:val="none" w:sz="0" w:space="0" w:color="auto"/>
                    <w:bottom w:val="none" w:sz="0" w:space="0" w:color="auto"/>
                    <w:right w:val="none" w:sz="0" w:space="0" w:color="auto"/>
                  </w:divBdr>
                  <w:divsChild>
                    <w:div w:id="17538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13751</Words>
  <Characters>86633</Characters>
  <Application>Microsoft Office Word</Application>
  <DocSecurity>0</DocSecurity>
  <Lines>721</Lines>
  <Paragraphs>200</Paragraphs>
  <ScaleCrop>false</ScaleCrop>
  <HeadingPairs>
    <vt:vector size="2" baseType="variant">
      <vt:variant>
        <vt:lpstr>Titel</vt:lpstr>
      </vt:variant>
      <vt:variant>
        <vt:i4>1</vt:i4>
      </vt:variant>
    </vt:vector>
  </HeadingPairs>
  <TitlesOfParts>
    <vt:vector size="1" baseType="lpstr">
      <vt:lpstr>Technische Hochschule Wildau (FH)</vt:lpstr>
    </vt:vector>
  </TitlesOfParts>
  <Company/>
  <LinksUpToDate>false</LinksUpToDate>
  <CharactersWithSpaces>100184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Hochschule Wildau (FH)</dc:title>
  <dc:subject/>
  <dc:creator>Peter Hantel</dc:creator>
  <cp:keywords/>
  <dc:description/>
  <cp:lastModifiedBy>Peter Hantel</cp:lastModifiedBy>
  <cp:revision>36</cp:revision>
  <cp:lastPrinted>2021-08-18T08:59:00Z</cp:lastPrinted>
  <dcterms:created xsi:type="dcterms:W3CDTF">2016-09-14T07:28:00Z</dcterms:created>
  <dcterms:modified xsi:type="dcterms:W3CDTF">2022-08-25T13:07:00Z</dcterms:modified>
</cp:coreProperties>
</file>