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24" w:rsidRDefault="00C906AD" w:rsidP="00653F93">
      <w:pPr>
        <w:jc w:val="both"/>
        <w:rPr>
          <w:b/>
          <w:u w:val="single"/>
        </w:rPr>
      </w:pPr>
      <w:r w:rsidRPr="00C906AD">
        <w:rPr>
          <w:b/>
          <w:u w:val="single"/>
        </w:rPr>
        <w:t>Gasversorgung als Teil der öffentlichen D</w:t>
      </w:r>
      <w:r>
        <w:rPr>
          <w:b/>
          <w:u w:val="single"/>
        </w:rPr>
        <w:t>aseinsvorsorge</w:t>
      </w:r>
    </w:p>
    <w:p w:rsidR="00C906AD" w:rsidRDefault="00C906AD" w:rsidP="00653F93">
      <w:pPr>
        <w:jc w:val="both"/>
        <w:rPr>
          <w:b/>
          <w:u w:val="single"/>
        </w:rPr>
      </w:pPr>
    </w:p>
    <w:p w:rsidR="00C906AD" w:rsidRDefault="00C906AD" w:rsidP="00653F93">
      <w:pPr>
        <w:jc w:val="both"/>
      </w:pPr>
      <w:r>
        <w:t>I)</w:t>
      </w:r>
    </w:p>
    <w:p w:rsidR="00C906AD" w:rsidRDefault="00C906AD" w:rsidP="00653F93">
      <w:pPr>
        <w:jc w:val="both"/>
      </w:pPr>
      <w:r>
        <w:t xml:space="preserve">Die Energieversorgung gehört zum Bereich der </w:t>
      </w:r>
      <w:r w:rsidRPr="00D01B63">
        <w:rPr>
          <w:b/>
        </w:rPr>
        <w:t>Daseinsvorsorge</w:t>
      </w:r>
      <w:r>
        <w:t>. Leistungen der Daseinsvorsorge sind zur Sicherung einer menschenwürdigen Existen</w:t>
      </w:r>
      <w:r w:rsidR="00A2774A">
        <w:t>z unumgänglich (wie etwa Elektrizität, Gas, Fernwärme</w:t>
      </w:r>
      <w:r>
        <w:t>, Wasser, Abwasser</w:t>
      </w:r>
      <w:r w:rsidR="00A2774A">
        <w:t>entsorgung</w:t>
      </w:r>
      <w:r>
        <w:t>, Müllbeseitigung, Öffentlicher Nahverkehr</w:t>
      </w:r>
      <w:r w:rsidR="00A2774A">
        <w:t>, aber auch Bildung, Schwimmbäder</w:t>
      </w:r>
      <w:r>
        <w:t xml:space="preserve">). </w:t>
      </w:r>
    </w:p>
    <w:p w:rsidR="00C906AD" w:rsidRDefault="00C906AD" w:rsidP="00653F93">
      <w:pPr>
        <w:jc w:val="both"/>
      </w:pPr>
    </w:p>
    <w:p w:rsidR="00C906AD" w:rsidRDefault="00C906AD" w:rsidP="00653F93">
      <w:pPr>
        <w:jc w:val="both"/>
      </w:pPr>
      <w:r>
        <w:t>II)</w:t>
      </w:r>
    </w:p>
    <w:p w:rsidR="001F7FC7" w:rsidRDefault="00C906AD" w:rsidP="00653F93">
      <w:pPr>
        <w:jc w:val="both"/>
      </w:pPr>
      <w:r>
        <w:t xml:space="preserve">Verfassungsrechtlich hat die Daseinsvorsorge im Rahmen des </w:t>
      </w:r>
      <w:r w:rsidRPr="00D01B63">
        <w:rPr>
          <w:b/>
        </w:rPr>
        <w:t>Sozialstaatsprinzips</w:t>
      </w:r>
      <w:r>
        <w:t xml:space="preserve"> nach Art. 20 I GG Verfassungsrang.</w:t>
      </w:r>
      <w:r w:rsidR="001F7FC7">
        <w:t xml:space="preserve"> ( BVerfG 38, 258 (270f.) = NJW 1975, 255; BVerfG 66, 248 (258) = NJW 1984, 1872; BVerfG 134, 242 (338) = NVwZ 2014 2014, 211 Rn. 286.)</w:t>
      </w:r>
    </w:p>
    <w:p w:rsidR="001F7FC7" w:rsidRDefault="001F7FC7" w:rsidP="00653F93">
      <w:pPr>
        <w:jc w:val="both"/>
      </w:pPr>
    </w:p>
    <w:p w:rsidR="00C906AD" w:rsidRDefault="00C906AD" w:rsidP="00653F93">
      <w:pPr>
        <w:jc w:val="both"/>
      </w:pPr>
    </w:p>
    <w:p w:rsidR="00C906AD" w:rsidRDefault="00C906AD" w:rsidP="00653F93">
      <w:pPr>
        <w:jc w:val="both"/>
      </w:pPr>
      <w:r>
        <w:t>III)</w:t>
      </w:r>
    </w:p>
    <w:p w:rsidR="001F7FC7" w:rsidRDefault="00C906AD" w:rsidP="00653F93">
      <w:pPr>
        <w:jc w:val="both"/>
      </w:pPr>
      <w:r>
        <w:t xml:space="preserve">Die ständige Verfügbarkeit ausreichender Energiemengen ist eine entscheidende Voraussetzung für die Funktion der gesamten Volkswirtschaft und daher </w:t>
      </w:r>
      <w:r w:rsidRPr="00D01B63">
        <w:rPr>
          <w:b/>
        </w:rPr>
        <w:t>ein absolut</w:t>
      </w:r>
      <w:r>
        <w:t xml:space="preserve"> </w:t>
      </w:r>
      <w:r w:rsidRPr="00D01B63">
        <w:rPr>
          <w:b/>
        </w:rPr>
        <w:t>überragendes Gemeinschaftsgut.</w:t>
      </w:r>
      <w:r w:rsidR="001F7FC7">
        <w:t xml:space="preserve"> ( BVerfG 30, 292 (324) = NJW 1971, 1255; BVerfG 134, 242 (338 = NVwZ 2014, 211, Rn. 286)</w:t>
      </w:r>
    </w:p>
    <w:p w:rsidR="00C906AD" w:rsidRDefault="00C906AD" w:rsidP="00653F93">
      <w:pPr>
        <w:jc w:val="both"/>
      </w:pPr>
    </w:p>
    <w:p w:rsidR="00C906AD" w:rsidRDefault="00C906AD" w:rsidP="00653F93">
      <w:pPr>
        <w:jc w:val="both"/>
      </w:pPr>
      <w:r>
        <w:t xml:space="preserve">IV) </w:t>
      </w:r>
    </w:p>
    <w:p w:rsidR="001F7FC7" w:rsidRDefault="00C906AD" w:rsidP="00653F93">
      <w:pPr>
        <w:jc w:val="both"/>
      </w:pPr>
      <w:r>
        <w:t xml:space="preserve">Der Staat ist daher gehalten, die Versorgung von Endverbrauchern und Industrie mit ausreichenden Mengen von Gas zu gewährleisten. Eine ausreichende Energieversorgung ist damit als Daseinsvorsorge dem staatlichen Pflichtenkreis zugeordnet. Mit einer reinen </w:t>
      </w:r>
      <w:r w:rsidRPr="00D01B63">
        <w:rPr>
          <w:b/>
        </w:rPr>
        <w:t xml:space="preserve">Mangelverwaltung unterläuft </w:t>
      </w:r>
      <w:r>
        <w:t>der Staat</w:t>
      </w:r>
      <w:r w:rsidR="00052F3A">
        <w:t xml:space="preserve"> die</w:t>
      </w:r>
      <w:r>
        <w:t xml:space="preserve"> ihm obliegende grundrechtliche Schutzpflicht.</w:t>
      </w:r>
      <w:r w:rsidR="00D01B63">
        <w:t xml:space="preserve"> </w:t>
      </w:r>
      <w:r w:rsidR="001F7FC7">
        <w:t>(Zur Schutzpflichtdogmatik BVerfG 142, 313 (337) = NJW 2017, 53 Rn. 69; BVerfG 157, 30 (111) = NJW 2021, 1723 Rn. 145 sowie Merk, NJW 2022, 2664)</w:t>
      </w:r>
    </w:p>
    <w:p w:rsidR="00052F3A" w:rsidRDefault="00052F3A" w:rsidP="00653F93">
      <w:pPr>
        <w:jc w:val="both"/>
      </w:pPr>
    </w:p>
    <w:p w:rsidR="00052F3A" w:rsidRDefault="00052F3A" w:rsidP="00653F93">
      <w:pPr>
        <w:jc w:val="both"/>
      </w:pPr>
      <w:r>
        <w:t>V)</w:t>
      </w:r>
    </w:p>
    <w:p w:rsidR="00052F3A" w:rsidRDefault="00052F3A" w:rsidP="00653F93">
      <w:pPr>
        <w:jc w:val="both"/>
      </w:pPr>
      <w:r>
        <w:t xml:space="preserve">Allerdings kann der Staat sich zur Erfüllung seiner Verpflichtungen aus der Daseinsvorsorge privater Unternehmen bedienen. Insbesondere im Energiewirtschaftsgesetz (EnWG) ist eine Zuweisung an privatrechtlich organisierte Energieversorgungsunternehmen vorgesehen. </w:t>
      </w:r>
      <w:r w:rsidR="001F7FC7">
        <w:t xml:space="preserve"> Die Verpflichtung zur Daseinsvorsorge </w:t>
      </w:r>
      <w:r w:rsidR="00531B62">
        <w:t xml:space="preserve">durch den Staat </w:t>
      </w:r>
      <w:r w:rsidR="001F7FC7">
        <w:t xml:space="preserve">ist daher </w:t>
      </w:r>
      <w:r w:rsidR="00531B62">
        <w:rPr>
          <w:b/>
        </w:rPr>
        <w:t>Ö</w:t>
      </w:r>
      <w:r w:rsidR="001F7FC7" w:rsidRPr="00A2774A">
        <w:rPr>
          <w:b/>
        </w:rPr>
        <w:t>ffentlich</w:t>
      </w:r>
      <w:r w:rsidR="00531B62">
        <w:rPr>
          <w:b/>
        </w:rPr>
        <w:t>es-Recht</w:t>
      </w:r>
      <w:r w:rsidR="001F7FC7">
        <w:t xml:space="preserve">, während die konkrete Umsetzung gegenüber Wirtschaft und Verbrauchern </w:t>
      </w:r>
      <w:r w:rsidR="001F7FC7" w:rsidRPr="00A2774A">
        <w:rPr>
          <w:b/>
        </w:rPr>
        <w:t>privatrechtlich</w:t>
      </w:r>
      <w:r w:rsidR="001F7FC7">
        <w:t xml:space="preserve"> </w:t>
      </w:r>
      <w:r w:rsidR="00531B62">
        <w:t xml:space="preserve">durch Verträge </w:t>
      </w:r>
      <w:bookmarkStart w:id="0" w:name="_GoBack"/>
      <w:bookmarkEnd w:id="0"/>
      <w:r w:rsidR="001F7FC7">
        <w:t>erfolgen kann.</w:t>
      </w:r>
    </w:p>
    <w:p w:rsidR="00052F3A" w:rsidRDefault="00052F3A" w:rsidP="00653F93">
      <w:pPr>
        <w:jc w:val="both"/>
      </w:pPr>
    </w:p>
    <w:p w:rsidR="00052F3A" w:rsidRDefault="00052F3A" w:rsidP="00653F93">
      <w:pPr>
        <w:jc w:val="both"/>
      </w:pPr>
      <w:r>
        <w:t>VI)</w:t>
      </w:r>
    </w:p>
    <w:p w:rsidR="00052F3A" w:rsidRDefault="00A2774A" w:rsidP="00653F93">
      <w:pPr>
        <w:jc w:val="both"/>
      </w:pPr>
      <w:r>
        <w:t>Einzelne g</w:t>
      </w:r>
      <w:r w:rsidR="00052F3A">
        <w:t>esetzliche Regelungen zur Sicherung der E</w:t>
      </w:r>
      <w:r w:rsidR="001F7FC7">
        <w:t xml:space="preserve">nergieversorgung </w:t>
      </w:r>
      <w:r w:rsidR="00052F3A">
        <w:t xml:space="preserve">: </w:t>
      </w:r>
    </w:p>
    <w:p w:rsidR="001F7FC7" w:rsidRDefault="001F7FC7" w:rsidP="00653F93">
      <w:pPr>
        <w:jc w:val="both"/>
      </w:pPr>
    </w:p>
    <w:p w:rsidR="00052F3A" w:rsidRDefault="00052F3A" w:rsidP="00653F93">
      <w:pPr>
        <w:jc w:val="both"/>
      </w:pPr>
      <w:r>
        <w:t>- Energiewirtschaftsgesetz (EnWG)</w:t>
      </w:r>
    </w:p>
    <w:p w:rsidR="00052F3A" w:rsidRDefault="001F7FC7" w:rsidP="00653F93">
      <w:pPr>
        <w:jc w:val="both"/>
      </w:pPr>
      <w:r>
        <w:t xml:space="preserve">- </w:t>
      </w:r>
      <w:r w:rsidR="00052F3A">
        <w:t>Gesetz über Mindestvorräte an Erdölerzeugnissen (EÖlVorratG)</w:t>
      </w:r>
    </w:p>
    <w:p w:rsidR="00052F3A" w:rsidRDefault="00052F3A" w:rsidP="00653F93">
      <w:pPr>
        <w:jc w:val="both"/>
      </w:pPr>
      <w:r>
        <w:t>- Gasspeicherungsgesetz 2022 (GasSpG)</w:t>
      </w:r>
    </w:p>
    <w:p w:rsidR="00052F3A" w:rsidRDefault="00365CCA" w:rsidP="00653F93">
      <w:pPr>
        <w:jc w:val="both"/>
      </w:pPr>
      <w:r>
        <w:t>- Energiesicherungsgesetz (E</w:t>
      </w:r>
      <w:r w:rsidR="00052F3A">
        <w:t>nSiG)</w:t>
      </w:r>
    </w:p>
    <w:p w:rsidR="00052F3A" w:rsidRPr="00C906AD" w:rsidRDefault="00052F3A" w:rsidP="00653F93">
      <w:pPr>
        <w:jc w:val="both"/>
      </w:pPr>
      <w:r>
        <w:t>- Gesetz über die friedliche Verwendung der Kernenergie und den Schutz gegen ihre Gefahren (AtomG)</w:t>
      </w:r>
    </w:p>
    <w:sectPr w:rsidR="00052F3A" w:rsidRPr="00C906A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3F4" w:rsidRDefault="00AE33F4" w:rsidP="00C906AD">
      <w:r>
        <w:separator/>
      </w:r>
    </w:p>
  </w:endnote>
  <w:endnote w:type="continuationSeparator" w:id="0">
    <w:p w:rsidR="00AE33F4" w:rsidRDefault="00AE33F4" w:rsidP="00C9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3F4" w:rsidRDefault="00AE33F4" w:rsidP="00C906AD">
      <w:r>
        <w:separator/>
      </w:r>
    </w:p>
  </w:footnote>
  <w:footnote w:type="continuationSeparator" w:id="0">
    <w:p w:rsidR="00AE33F4" w:rsidRDefault="00AE33F4" w:rsidP="00C90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1C"/>
    <w:rsid w:val="000004C0"/>
    <w:rsid w:val="000029E0"/>
    <w:rsid w:val="00022644"/>
    <w:rsid w:val="000341E4"/>
    <w:rsid w:val="000358E2"/>
    <w:rsid w:val="000421A9"/>
    <w:rsid w:val="00044531"/>
    <w:rsid w:val="00046D2F"/>
    <w:rsid w:val="00052F3A"/>
    <w:rsid w:val="0005479E"/>
    <w:rsid w:val="000552CC"/>
    <w:rsid w:val="00060B2E"/>
    <w:rsid w:val="00067687"/>
    <w:rsid w:val="00077DBA"/>
    <w:rsid w:val="00086714"/>
    <w:rsid w:val="000A39A8"/>
    <w:rsid w:val="000A4BC4"/>
    <w:rsid w:val="000A727B"/>
    <w:rsid w:val="000C0A8C"/>
    <w:rsid w:val="000C0AC0"/>
    <w:rsid w:val="000C5FDE"/>
    <w:rsid w:val="000C6B79"/>
    <w:rsid w:val="000D598B"/>
    <w:rsid w:val="000F0235"/>
    <w:rsid w:val="000F0E64"/>
    <w:rsid w:val="000F29BD"/>
    <w:rsid w:val="000F57C9"/>
    <w:rsid w:val="00100C34"/>
    <w:rsid w:val="0010675D"/>
    <w:rsid w:val="00107128"/>
    <w:rsid w:val="00107724"/>
    <w:rsid w:val="001110EA"/>
    <w:rsid w:val="00116910"/>
    <w:rsid w:val="001243ED"/>
    <w:rsid w:val="00125E11"/>
    <w:rsid w:val="001474B1"/>
    <w:rsid w:val="001476CC"/>
    <w:rsid w:val="00153D1A"/>
    <w:rsid w:val="0015619E"/>
    <w:rsid w:val="0016734F"/>
    <w:rsid w:val="001764F7"/>
    <w:rsid w:val="00180705"/>
    <w:rsid w:val="001866A1"/>
    <w:rsid w:val="00187671"/>
    <w:rsid w:val="00192DFD"/>
    <w:rsid w:val="0019345C"/>
    <w:rsid w:val="00194722"/>
    <w:rsid w:val="00197926"/>
    <w:rsid w:val="001A106F"/>
    <w:rsid w:val="001A3F36"/>
    <w:rsid w:val="001B1C96"/>
    <w:rsid w:val="001C703A"/>
    <w:rsid w:val="001E11B8"/>
    <w:rsid w:val="001E121D"/>
    <w:rsid w:val="001F1B05"/>
    <w:rsid w:val="001F1CF7"/>
    <w:rsid w:val="001F7FC7"/>
    <w:rsid w:val="002137F6"/>
    <w:rsid w:val="00221A58"/>
    <w:rsid w:val="002232B5"/>
    <w:rsid w:val="002232D4"/>
    <w:rsid w:val="002243F3"/>
    <w:rsid w:val="0023584B"/>
    <w:rsid w:val="00235EF2"/>
    <w:rsid w:val="00240782"/>
    <w:rsid w:val="00242CEA"/>
    <w:rsid w:val="00247327"/>
    <w:rsid w:val="00247650"/>
    <w:rsid w:val="00257B64"/>
    <w:rsid w:val="002642BA"/>
    <w:rsid w:val="00270CCD"/>
    <w:rsid w:val="002717F2"/>
    <w:rsid w:val="00272272"/>
    <w:rsid w:val="002762B9"/>
    <w:rsid w:val="0028219F"/>
    <w:rsid w:val="00283A04"/>
    <w:rsid w:val="002A26CC"/>
    <w:rsid w:val="002B423D"/>
    <w:rsid w:val="002B7FD5"/>
    <w:rsid w:val="002C33DF"/>
    <w:rsid w:val="002C6625"/>
    <w:rsid w:val="002D19D4"/>
    <w:rsid w:val="002E1C08"/>
    <w:rsid w:val="002E3BA5"/>
    <w:rsid w:val="002F1C98"/>
    <w:rsid w:val="002F5277"/>
    <w:rsid w:val="00300D41"/>
    <w:rsid w:val="0031351B"/>
    <w:rsid w:val="00330DBB"/>
    <w:rsid w:val="00343A07"/>
    <w:rsid w:val="00343A4D"/>
    <w:rsid w:val="003469F6"/>
    <w:rsid w:val="00355B56"/>
    <w:rsid w:val="00362AE4"/>
    <w:rsid w:val="00365CCA"/>
    <w:rsid w:val="003727AD"/>
    <w:rsid w:val="003A189D"/>
    <w:rsid w:val="003A2385"/>
    <w:rsid w:val="003C1361"/>
    <w:rsid w:val="003C31BA"/>
    <w:rsid w:val="003D07AA"/>
    <w:rsid w:val="003D37F1"/>
    <w:rsid w:val="003E1E84"/>
    <w:rsid w:val="003E3C10"/>
    <w:rsid w:val="00401D6E"/>
    <w:rsid w:val="00412C23"/>
    <w:rsid w:val="00413D7B"/>
    <w:rsid w:val="00420C17"/>
    <w:rsid w:val="0042181E"/>
    <w:rsid w:val="004312CD"/>
    <w:rsid w:val="00432476"/>
    <w:rsid w:val="00440FED"/>
    <w:rsid w:val="00443F9C"/>
    <w:rsid w:val="004450FB"/>
    <w:rsid w:val="004553EB"/>
    <w:rsid w:val="004567C0"/>
    <w:rsid w:val="00463A2D"/>
    <w:rsid w:val="00466B5D"/>
    <w:rsid w:val="00472142"/>
    <w:rsid w:val="004763C5"/>
    <w:rsid w:val="00480207"/>
    <w:rsid w:val="00485AE8"/>
    <w:rsid w:val="004874C3"/>
    <w:rsid w:val="00490C90"/>
    <w:rsid w:val="00491BCC"/>
    <w:rsid w:val="004929AC"/>
    <w:rsid w:val="004938A2"/>
    <w:rsid w:val="004A2E62"/>
    <w:rsid w:val="004B241B"/>
    <w:rsid w:val="004C2080"/>
    <w:rsid w:val="004D17E8"/>
    <w:rsid w:val="004D440D"/>
    <w:rsid w:val="004D4FD8"/>
    <w:rsid w:val="004D564A"/>
    <w:rsid w:val="004D65E2"/>
    <w:rsid w:val="004F0D69"/>
    <w:rsid w:val="004F1319"/>
    <w:rsid w:val="00512D69"/>
    <w:rsid w:val="00515125"/>
    <w:rsid w:val="005163DC"/>
    <w:rsid w:val="00527B18"/>
    <w:rsid w:val="00530C98"/>
    <w:rsid w:val="00531B62"/>
    <w:rsid w:val="00534660"/>
    <w:rsid w:val="005430D1"/>
    <w:rsid w:val="00551A46"/>
    <w:rsid w:val="005601E6"/>
    <w:rsid w:val="005635F6"/>
    <w:rsid w:val="00570489"/>
    <w:rsid w:val="0057371F"/>
    <w:rsid w:val="00582E10"/>
    <w:rsid w:val="005901FA"/>
    <w:rsid w:val="00591314"/>
    <w:rsid w:val="005C000A"/>
    <w:rsid w:val="005C6D09"/>
    <w:rsid w:val="005D31C7"/>
    <w:rsid w:val="005D5A36"/>
    <w:rsid w:val="005E7250"/>
    <w:rsid w:val="005E7A4E"/>
    <w:rsid w:val="005F17F3"/>
    <w:rsid w:val="005F65DB"/>
    <w:rsid w:val="00620324"/>
    <w:rsid w:val="00624E22"/>
    <w:rsid w:val="006360AA"/>
    <w:rsid w:val="00644F2B"/>
    <w:rsid w:val="0064641A"/>
    <w:rsid w:val="0064665C"/>
    <w:rsid w:val="00653F93"/>
    <w:rsid w:val="006625C1"/>
    <w:rsid w:val="00664089"/>
    <w:rsid w:val="006657A4"/>
    <w:rsid w:val="00667C28"/>
    <w:rsid w:val="006875F4"/>
    <w:rsid w:val="0069493B"/>
    <w:rsid w:val="006965AD"/>
    <w:rsid w:val="006A1B75"/>
    <w:rsid w:val="006A5893"/>
    <w:rsid w:val="006A785F"/>
    <w:rsid w:val="006B3173"/>
    <w:rsid w:val="006B4F31"/>
    <w:rsid w:val="006C0E9C"/>
    <w:rsid w:val="006C1974"/>
    <w:rsid w:val="006C257D"/>
    <w:rsid w:val="006C35B2"/>
    <w:rsid w:val="006C7483"/>
    <w:rsid w:val="006D0BE9"/>
    <w:rsid w:val="006D3BC4"/>
    <w:rsid w:val="006D5731"/>
    <w:rsid w:val="006E5D45"/>
    <w:rsid w:val="006E79B2"/>
    <w:rsid w:val="006F4583"/>
    <w:rsid w:val="006F54E6"/>
    <w:rsid w:val="006F782B"/>
    <w:rsid w:val="006F7E56"/>
    <w:rsid w:val="00710DC3"/>
    <w:rsid w:val="00711435"/>
    <w:rsid w:val="00712C4A"/>
    <w:rsid w:val="007165A4"/>
    <w:rsid w:val="00716B08"/>
    <w:rsid w:val="0072483A"/>
    <w:rsid w:val="007259CC"/>
    <w:rsid w:val="00730DF3"/>
    <w:rsid w:val="00732ADE"/>
    <w:rsid w:val="007455AA"/>
    <w:rsid w:val="00746958"/>
    <w:rsid w:val="00750B0A"/>
    <w:rsid w:val="00750D09"/>
    <w:rsid w:val="00754F15"/>
    <w:rsid w:val="00760782"/>
    <w:rsid w:val="00760CD2"/>
    <w:rsid w:val="00763A1C"/>
    <w:rsid w:val="00764A21"/>
    <w:rsid w:val="007656B3"/>
    <w:rsid w:val="00766A87"/>
    <w:rsid w:val="007724FB"/>
    <w:rsid w:val="00780AFC"/>
    <w:rsid w:val="00780D46"/>
    <w:rsid w:val="007810EF"/>
    <w:rsid w:val="007C008A"/>
    <w:rsid w:val="007E2221"/>
    <w:rsid w:val="007E4FF7"/>
    <w:rsid w:val="007F0707"/>
    <w:rsid w:val="008045F8"/>
    <w:rsid w:val="008218F7"/>
    <w:rsid w:val="00823549"/>
    <w:rsid w:val="00824DD1"/>
    <w:rsid w:val="00834A48"/>
    <w:rsid w:val="00835B24"/>
    <w:rsid w:val="00852A31"/>
    <w:rsid w:val="00862E7E"/>
    <w:rsid w:val="008635C2"/>
    <w:rsid w:val="00873C1C"/>
    <w:rsid w:val="00876916"/>
    <w:rsid w:val="00891A01"/>
    <w:rsid w:val="008A1CAF"/>
    <w:rsid w:val="008A227D"/>
    <w:rsid w:val="008A65FB"/>
    <w:rsid w:val="008B4E4F"/>
    <w:rsid w:val="008C1D21"/>
    <w:rsid w:val="008C3CBF"/>
    <w:rsid w:val="008D0C6C"/>
    <w:rsid w:val="008D3A8B"/>
    <w:rsid w:val="008D435E"/>
    <w:rsid w:val="008D6D64"/>
    <w:rsid w:val="008F0589"/>
    <w:rsid w:val="00911B74"/>
    <w:rsid w:val="009164FC"/>
    <w:rsid w:val="00920634"/>
    <w:rsid w:val="009206F1"/>
    <w:rsid w:val="0093177C"/>
    <w:rsid w:val="00932C10"/>
    <w:rsid w:val="00933207"/>
    <w:rsid w:val="00941A82"/>
    <w:rsid w:val="009428CD"/>
    <w:rsid w:val="00944492"/>
    <w:rsid w:val="0094636F"/>
    <w:rsid w:val="009473C4"/>
    <w:rsid w:val="009478E8"/>
    <w:rsid w:val="00955D42"/>
    <w:rsid w:val="009601CD"/>
    <w:rsid w:val="00980D81"/>
    <w:rsid w:val="0098218C"/>
    <w:rsid w:val="00984E2D"/>
    <w:rsid w:val="009903F9"/>
    <w:rsid w:val="00994722"/>
    <w:rsid w:val="009A3AC2"/>
    <w:rsid w:val="009A72C3"/>
    <w:rsid w:val="009B3170"/>
    <w:rsid w:val="009B34F1"/>
    <w:rsid w:val="009C2CC3"/>
    <w:rsid w:val="009C5187"/>
    <w:rsid w:val="009D6659"/>
    <w:rsid w:val="009E244C"/>
    <w:rsid w:val="009E2F97"/>
    <w:rsid w:val="009F1568"/>
    <w:rsid w:val="009F4B4A"/>
    <w:rsid w:val="00A027E3"/>
    <w:rsid w:val="00A119CD"/>
    <w:rsid w:val="00A14133"/>
    <w:rsid w:val="00A2774A"/>
    <w:rsid w:val="00A40606"/>
    <w:rsid w:val="00A44B7A"/>
    <w:rsid w:val="00A514BF"/>
    <w:rsid w:val="00A5340D"/>
    <w:rsid w:val="00A53D99"/>
    <w:rsid w:val="00A674D4"/>
    <w:rsid w:val="00A756EE"/>
    <w:rsid w:val="00A77E47"/>
    <w:rsid w:val="00A865A0"/>
    <w:rsid w:val="00A93FC2"/>
    <w:rsid w:val="00AA07D1"/>
    <w:rsid w:val="00AA1E8B"/>
    <w:rsid w:val="00AA57A8"/>
    <w:rsid w:val="00AA650D"/>
    <w:rsid w:val="00AA7A94"/>
    <w:rsid w:val="00AB4EAB"/>
    <w:rsid w:val="00AB6BD4"/>
    <w:rsid w:val="00AC28E5"/>
    <w:rsid w:val="00AD11A5"/>
    <w:rsid w:val="00AD7243"/>
    <w:rsid w:val="00AE0640"/>
    <w:rsid w:val="00AE3135"/>
    <w:rsid w:val="00AE33F4"/>
    <w:rsid w:val="00AE663F"/>
    <w:rsid w:val="00AF6FA3"/>
    <w:rsid w:val="00AF7EE4"/>
    <w:rsid w:val="00B01702"/>
    <w:rsid w:val="00B2077F"/>
    <w:rsid w:val="00B21245"/>
    <w:rsid w:val="00B30DB5"/>
    <w:rsid w:val="00B34F18"/>
    <w:rsid w:val="00B35370"/>
    <w:rsid w:val="00B42695"/>
    <w:rsid w:val="00B5192A"/>
    <w:rsid w:val="00B543CE"/>
    <w:rsid w:val="00B61802"/>
    <w:rsid w:val="00B618EB"/>
    <w:rsid w:val="00B67739"/>
    <w:rsid w:val="00B70998"/>
    <w:rsid w:val="00B96AEA"/>
    <w:rsid w:val="00BA6F95"/>
    <w:rsid w:val="00BC3A74"/>
    <w:rsid w:val="00BD1FDB"/>
    <w:rsid w:val="00BD576E"/>
    <w:rsid w:val="00BD6ECA"/>
    <w:rsid w:val="00BE07C0"/>
    <w:rsid w:val="00BE11AE"/>
    <w:rsid w:val="00BF3E03"/>
    <w:rsid w:val="00C02FB5"/>
    <w:rsid w:val="00C0377F"/>
    <w:rsid w:val="00C1147F"/>
    <w:rsid w:val="00C14102"/>
    <w:rsid w:val="00C154E2"/>
    <w:rsid w:val="00C21343"/>
    <w:rsid w:val="00C22BBC"/>
    <w:rsid w:val="00C243B5"/>
    <w:rsid w:val="00C33DF9"/>
    <w:rsid w:val="00C543C7"/>
    <w:rsid w:val="00C65970"/>
    <w:rsid w:val="00C72788"/>
    <w:rsid w:val="00C72DB8"/>
    <w:rsid w:val="00C80060"/>
    <w:rsid w:val="00C906AD"/>
    <w:rsid w:val="00C9128A"/>
    <w:rsid w:val="00C92D20"/>
    <w:rsid w:val="00CA2062"/>
    <w:rsid w:val="00CA421F"/>
    <w:rsid w:val="00CA71F7"/>
    <w:rsid w:val="00CA7333"/>
    <w:rsid w:val="00CB1109"/>
    <w:rsid w:val="00CC2936"/>
    <w:rsid w:val="00CC6EE3"/>
    <w:rsid w:val="00CD13DB"/>
    <w:rsid w:val="00CD3239"/>
    <w:rsid w:val="00CE03CB"/>
    <w:rsid w:val="00CE265A"/>
    <w:rsid w:val="00CE3BCC"/>
    <w:rsid w:val="00CE7842"/>
    <w:rsid w:val="00CF03AE"/>
    <w:rsid w:val="00CF5858"/>
    <w:rsid w:val="00CF7ACC"/>
    <w:rsid w:val="00D00E1D"/>
    <w:rsid w:val="00D01B63"/>
    <w:rsid w:val="00D02A80"/>
    <w:rsid w:val="00D05908"/>
    <w:rsid w:val="00D05B9A"/>
    <w:rsid w:val="00D15F8D"/>
    <w:rsid w:val="00D456F1"/>
    <w:rsid w:val="00D512AF"/>
    <w:rsid w:val="00D51626"/>
    <w:rsid w:val="00D60857"/>
    <w:rsid w:val="00D61A88"/>
    <w:rsid w:val="00D642F3"/>
    <w:rsid w:val="00D70E67"/>
    <w:rsid w:val="00D73B30"/>
    <w:rsid w:val="00D773FB"/>
    <w:rsid w:val="00D94679"/>
    <w:rsid w:val="00DA40DE"/>
    <w:rsid w:val="00DA6817"/>
    <w:rsid w:val="00DC106C"/>
    <w:rsid w:val="00DC29A3"/>
    <w:rsid w:val="00DC2C65"/>
    <w:rsid w:val="00DD1F46"/>
    <w:rsid w:val="00DE2FC2"/>
    <w:rsid w:val="00DF136B"/>
    <w:rsid w:val="00DF26D6"/>
    <w:rsid w:val="00DF7F10"/>
    <w:rsid w:val="00E0533A"/>
    <w:rsid w:val="00E061C7"/>
    <w:rsid w:val="00E06D57"/>
    <w:rsid w:val="00E137CF"/>
    <w:rsid w:val="00E14862"/>
    <w:rsid w:val="00E1797A"/>
    <w:rsid w:val="00E25DB8"/>
    <w:rsid w:val="00E260B0"/>
    <w:rsid w:val="00E3434F"/>
    <w:rsid w:val="00E3704B"/>
    <w:rsid w:val="00E44851"/>
    <w:rsid w:val="00E56A02"/>
    <w:rsid w:val="00E652E0"/>
    <w:rsid w:val="00E66428"/>
    <w:rsid w:val="00E713D6"/>
    <w:rsid w:val="00E73BD5"/>
    <w:rsid w:val="00E74F94"/>
    <w:rsid w:val="00E819A0"/>
    <w:rsid w:val="00E914DA"/>
    <w:rsid w:val="00E91A92"/>
    <w:rsid w:val="00E948E8"/>
    <w:rsid w:val="00EA399D"/>
    <w:rsid w:val="00EA74BF"/>
    <w:rsid w:val="00EB234A"/>
    <w:rsid w:val="00EC120F"/>
    <w:rsid w:val="00EC2A7A"/>
    <w:rsid w:val="00EC67D5"/>
    <w:rsid w:val="00EC7CBA"/>
    <w:rsid w:val="00ED09D1"/>
    <w:rsid w:val="00ED36F7"/>
    <w:rsid w:val="00EE7803"/>
    <w:rsid w:val="00EF10A4"/>
    <w:rsid w:val="00EF2BE0"/>
    <w:rsid w:val="00F03A1C"/>
    <w:rsid w:val="00F119DF"/>
    <w:rsid w:val="00F12DA1"/>
    <w:rsid w:val="00F12F2E"/>
    <w:rsid w:val="00F314D2"/>
    <w:rsid w:val="00F31A00"/>
    <w:rsid w:val="00F3284C"/>
    <w:rsid w:val="00F33DAB"/>
    <w:rsid w:val="00F33E13"/>
    <w:rsid w:val="00F43789"/>
    <w:rsid w:val="00F47044"/>
    <w:rsid w:val="00F526E1"/>
    <w:rsid w:val="00F56104"/>
    <w:rsid w:val="00F6445A"/>
    <w:rsid w:val="00F709C1"/>
    <w:rsid w:val="00F848B8"/>
    <w:rsid w:val="00F862C5"/>
    <w:rsid w:val="00F90996"/>
    <w:rsid w:val="00F946FE"/>
    <w:rsid w:val="00FA0C8F"/>
    <w:rsid w:val="00FA0CD2"/>
    <w:rsid w:val="00FA40AD"/>
    <w:rsid w:val="00FB4C57"/>
    <w:rsid w:val="00FD7B8A"/>
    <w:rsid w:val="00FF006A"/>
    <w:rsid w:val="00FF1C05"/>
    <w:rsid w:val="00FF5204"/>
    <w:rsid w:val="00FF52F3"/>
    <w:rsid w:val="00FF7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94DE2-B9BC-4B94-913A-C975D13F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69F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69F6"/>
    <w:rPr>
      <w:rFonts w:ascii="Segoe UI" w:hAnsi="Segoe UI" w:cs="Segoe UI"/>
      <w:sz w:val="18"/>
      <w:szCs w:val="18"/>
    </w:rPr>
  </w:style>
  <w:style w:type="paragraph" w:styleId="Funotentext">
    <w:name w:val="footnote text"/>
    <w:basedOn w:val="Standard"/>
    <w:link w:val="FunotentextZchn"/>
    <w:uiPriority w:val="99"/>
    <w:semiHidden/>
    <w:unhideWhenUsed/>
    <w:rsid w:val="00C906AD"/>
    <w:rPr>
      <w:sz w:val="20"/>
      <w:szCs w:val="20"/>
    </w:rPr>
  </w:style>
  <w:style w:type="character" w:customStyle="1" w:styleId="FunotentextZchn">
    <w:name w:val="Fußnotentext Zchn"/>
    <w:basedOn w:val="Absatz-Standardschriftart"/>
    <w:link w:val="Funotentext"/>
    <w:uiPriority w:val="99"/>
    <w:semiHidden/>
    <w:rsid w:val="00C906AD"/>
    <w:rPr>
      <w:sz w:val="20"/>
      <w:szCs w:val="20"/>
    </w:rPr>
  </w:style>
  <w:style w:type="character" w:styleId="Funotenzeichen">
    <w:name w:val="footnote reference"/>
    <w:basedOn w:val="Absatz-Standardschriftart"/>
    <w:uiPriority w:val="99"/>
    <w:semiHidden/>
    <w:unhideWhenUsed/>
    <w:rsid w:val="00C906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BA62-723F-44D2-87CE-BD2B4010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Hantel</dc:creator>
  <cp:keywords/>
  <dc:description/>
  <cp:lastModifiedBy>Peter Hantel</cp:lastModifiedBy>
  <cp:revision>16</cp:revision>
  <cp:lastPrinted>2021-08-10T09:54:00Z</cp:lastPrinted>
  <dcterms:created xsi:type="dcterms:W3CDTF">2022-02-03T08:50:00Z</dcterms:created>
  <dcterms:modified xsi:type="dcterms:W3CDTF">2022-09-15T11:11:00Z</dcterms:modified>
</cp:coreProperties>
</file>